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66C9" w:rsidRPr="009466C9" w:rsidRDefault="009466C9" w:rsidP="009466C9">
      <w:pPr>
        <w:suppressAutoHyphens/>
        <w:jc w:val="right"/>
        <w:rPr>
          <w:rFonts w:eastAsia="Times New Roman" w:cs="Times New Roman"/>
          <w:szCs w:val="24"/>
          <w:lang w:eastAsia="ar-SA"/>
        </w:rPr>
      </w:pPr>
    </w:p>
    <w:tbl>
      <w:tblPr>
        <w:tblW w:w="0" w:type="auto"/>
        <w:jc w:val="center"/>
        <w:tblLook w:val="0000" w:firstRow="0" w:lastRow="0" w:firstColumn="0" w:lastColumn="0" w:noHBand="0" w:noVBand="0"/>
      </w:tblPr>
      <w:tblGrid>
        <w:gridCol w:w="4608"/>
        <w:gridCol w:w="3914"/>
      </w:tblGrid>
      <w:tr w:rsidR="009466C9" w:rsidRPr="009466C9" w:rsidTr="00CD23C6">
        <w:trPr>
          <w:jc w:val="center"/>
        </w:trPr>
        <w:tc>
          <w:tcPr>
            <w:tcW w:w="4608" w:type="dxa"/>
          </w:tcPr>
          <w:p w:rsidR="009466C9" w:rsidRPr="009466C9" w:rsidRDefault="009466C9" w:rsidP="009466C9">
            <w:pPr>
              <w:rPr>
                <w:rFonts w:eastAsia="Times New Roman" w:cs="Times New Roman"/>
                <w:b/>
                <w:szCs w:val="24"/>
                <w:lang w:eastAsia="lv-LV"/>
              </w:rPr>
            </w:pPr>
          </w:p>
          <w:p w:rsidR="009466C9" w:rsidRPr="009466C9" w:rsidRDefault="000A26DD" w:rsidP="009466C9">
            <w:pPr>
              <w:rPr>
                <w:rFonts w:eastAsia="Times New Roman" w:cs="Times New Roman"/>
                <w:szCs w:val="24"/>
              </w:rPr>
            </w:pPr>
            <w:r w:rsidRPr="00AF1485">
              <w:rPr>
                <w:b/>
              </w:rPr>
              <w:t>Centrālā</w:t>
            </w:r>
            <w:r>
              <w:rPr>
                <w:b/>
              </w:rPr>
              <w:t>s</w:t>
            </w:r>
            <w:r w:rsidRPr="00AF1485">
              <w:rPr>
                <w:b/>
              </w:rPr>
              <w:t xml:space="preserve"> finanšu un līgumu aģentūra</w:t>
            </w:r>
            <w:r>
              <w:rPr>
                <w:b/>
              </w:rPr>
              <w:t>s</w:t>
            </w:r>
            <w:r w:rsidRPr="009466C9">
              <w:rPr>
                <w:rFonts w:eastAsia="Times New Roman" w:cs="Times New Roman"/>
                <w:b/>
                <w:szCs w:val="24"/>
                <w:lang w:eastAsia="lv-LV"/>
              </w:rPr>
              <w:t xml:space="preserve"> </w:t>
            </w:r>
            <w:r w:rsidR="009466C9" w:rsidRPr="009466C9">
              <w:rPr>
                <w:rFonts w:eastAsia="Times New Roman" w:cs="Times New Roman"/>
                <w:szCs w:val="24"/>
              </w:rPr>
              <w:t xml:space="preserve">līguma Nr. </w:t>
            </w:r>
            <w:r w:rsidR="00C919F5" w:rsidRPr="00C919F5">
              <w:rPr>
                <w:rFonts w:eastAsia="Times New Roman" w:cs="Times New Roman"/>
                <w:b/>
                <w:bCs/>
                <w:szCs w:val="20"/>
              </w:rPr>
              <w:t>39-1-8/35</w:t>
            </w:r>
          </w:p>
          <w:p w:rsidR="009466C9" w:rsidRPr="009466C9" w:rsidRDefault="009466C9" w:rsidP="009466C9">
            <w:pPr>
              <w:rPr>
                <w:rFonts w:eastAsia="Times New Roman" w:cs="Times New Roman"/>
                <w:szCs w:val="24"/>
              </w:rPr>
            </w:pPr>
          </w:p>
          <w:p w:rsidR="009466C9" w:rsidRPr="009466C9" w:rsidRDefault="009466C9" w:rsidP="009466C9">
            <w:pPr>
              <w:rPr>
                <w:rFonts w:eastAsia="Times New Roman" w:cs="Times New Roman"/>
                <w:szCs w:val="24"/>
              </w:rPr>
            </w:pPr>
          </w:p>
        </w:tc>
        <w:tc>
          <w:tcPr>
            <w:tcW w:w="3914" w:type="dxa"/>
          </w:tcPr>
          <w:p w:rsidR="009466C9" w:rsidRPr="009466C9" w:rsidRDefault="009466C9" w:rsidP="009466C9">
            <w:pPr>
              <w:keepNext/>
              <w:jc w:val="both"/>
              <w:outlineLvl w:val="2"/>
              <w:rPr>
                <w:rFonts w:eastAsia="Times New Roman" w:cs="Times New Roman"/>
                <w:bCs/>
                <w:szCs w:val="20"/>
              </w:rPr>
            </w:pPr>
            <w:r w:rsidRPr="009466C9">
              <w:rPr>
                <w:rFonts w:eastAsia="Times New Roman" w:cs="Times New Roman"/>
                <w:bCs/>
                <w:szCs w:val="20"/>
              </w:rPr>
              <w:t xml:space="preserve">      </w:t>
            </w:r>
          </w:p>
          <w:p w:rsidR="009466C9" w:rsidRPr="009466C9" w:rsidRDefault="009466C9" w:rsidP="009466C9">
            <w:pPr>
              <w:keepNext/>
              <w:jc w:val="right"/>
              <w:outlineLvl w:val="2"/>
              <w:rPr>
                <w:rFonts w:eastAsia="Times New Roman" w:cs="Times New Roman"/>
                <w:bCs/>
                <w:szCs w:val="20"/>
              </w:rPr>
            </w:pPr>
            <w:r w:rsidRPr="009466C9">
              <w:rPr>
                <w:rFonts w:eastAsia="Times New Roman" w:cs="Times New Roman"/>
                <w:b/>
                <w:szCs w:val="24"/>
                <w:lang w:eastAsia="lv-LV"/>
              </w:rPr>
              <w:t>Compensa Life Vienna Insurance Group SE Latvijas filiāle</w:t>
            </w:r>
            <w:r w:rsidRPr="009466C9">
              <w:rPr>
                <w:rFonts w:eastAsia="Times New Roman" w:cs="Times New Roman"/>
                <w:bCs/>
                <w:szCs w:val="20"/>
              </w:rPr>
              <w:t xml:space="preserve"> </w:t>
            </w:r>
          </w:p>
          <w:p w:rsidR="009466C9" w:rsidRPr="009466C9" w:rsidRDefault="009466C9" w:rsidP="009466C9">
            <w:pPr>
              <w:keepNext/>
              <w:jc w:val="right"/>
              <w:outlineLvl w:val="2"/>
              <w:rPr>
                <w:rFonts w:eastAsia="Times New Roman" w:cs="Times New Roman"/>
                <w:b/>
                <w:szCs w:val="20"/>
              </w:rPr>
            </w:pPr>
            <w:r w:rsidRPr="009466C9">
              <w:rPr>
                <w:rFonts w:eastAsia="Times New Roman" w:cs="Times New Roman"/>
                <w:bCs/>
                <w:szCs w:val="20"/>
              </w:rPr>
              <w:t>līgumu uzskaites Nr. __________</w:t>
            </w:r>
          </w:p>
        </w:tc>
      </w:tr>
    </w:tbl>
    <w:p w:rsidR="009466C9" w:rsidRPr="009466C9" w:rsidRDefault="009466C9" w:rsidP="009466C9">
      <w:pPr>
        <w:jc w:val="center"/>
        <w:rPr>
          <w:rFonts w:eastAsia="Times New Roman" w:cs="Times New Roman"/>
          <w:b/>
          <w:szCs w:val="24"/>
          <w:lang w:eastAsia="lv-LV"/>
        </w:rPr>
      </w:pPr>
    </w:p>
    <w:p w:rsidR="009466C9" w:rsidRPr="009466C9" w:rsidRDefault="009466C9" w:rsidP="009466C9">
      <w:pPr>
        <w:jc w:val="center"/>
        <w:rPr>
          <w:rFonts w:eastAsia="Times New Roman" w:cs="Times New Roman"/>
          <w:b/>
          <w:szCs w:val="24"/>
          <w:lang w:eastAsia="lv-LV"/>
        </w:rPr>
      </w:pPr>
      <w:r w:rsidRPr="009466C9">
        <w:rPr>
          <w:rFonts w:eastAsia="Times New Roman" w:cs="Times New Roman"/>
          <w:b/>
          <w:szCs w:val="24"/>
          <w:lang w:eastAsia="lv-LV"/>
        </w:rPr>
        <w:t>APDROŠINĀŠANAS LĪGUMS</w:t>
      </w:r>
    </w:p>
    <w:p w:rsidR="009466C9" w:rsidRPr="009466C9" w:rsidRDefault="009466C9" w:rsidP="009466C9">
      <w:pPr>
        <w:jc w:val="center"/>
        <w:rPr>
          <w:rFonts w:eastAsia="Times New Roman" w:cs="Times New Roman"/>
          <w:b/>
          <w:szCs w:val="24"/>
          <w:lang w:eastAsia="lv-LV"/>
        </w:rPr>
      </w:pPr>
      <w:r w:rsidRPr="009466C9">
        <w:rPr>
          <w:rFonts w:eastAsia="Times New Roman" w:cs="Times New Roman"/>
          <w:b/>
          <w:szCs w:val="24"/>
          <w:lang w:eastAsia="lv-LV"/>
        </w:rPr>
        <w:t xml:space="preserve"> </w:t>
      </w:r>
    </w:p>
    <w:p w:rsidR="009466C9" w:rsidRDefault="00820578" w:rsidP="00820578">
      <w:pPr>
        <w:ind w:left="360"/>
        <w:jc w:val="right"/>
        <w:rPr>
          <w:rFonts w:eastAsia="Times New Roman" w:cs="Times New Roman"/>
          <w:b/>
          <w:szCs w:val="24"/>
        </w:rPr>
      </w:pPr>
      <w:r w:rsidRPr="00820578">
        <w:rPr>
          <w:rFonts w:eastAsia="Times New Roman" w:cs="Times New Roman"/>
          <w:b/>
          <w:szCs w:val="24"/>
        </w:rPr>
        <w:t>Datums skatāms laika zīmogā</w:t>
      </w:r>
    </w:p>
    <w:p w:rsidR="00820578" w:rsidRPr="009466C9" w:rsidRDefault="00820578" w:rsidP="00820578">
      <w:pPr>
        <w:ind w:left="360"/>
        <w:jc w:val="right"/>
        <w:rPr>
          <w:rFonts w:eastAsia="Times New Roman" w:cs="Times New Roman"/>
          <w:b/>
          <w:szCs w:val="24"/>
        </w:rPr>
      </w:pPr>
    </w:p>
    <w:p w:rsidR="009466C9" w:rsidRPr="009466C9" w:rsidRDefault="009466C9" w:rsidP="009466C9">
      <w:pPr>
        <w:shd w:val="clear" w:color="auto" w:fill="FFFFFF"/>
        <w:ind w:left="10" w:right="10" w:firstLine="557"/>
        <w:jc w:val="both"/>
        <w:rPr>
          <w:rFonts w:eastAsia="Times New Roman" w:cs="Times New Roman"/>
          <w:bCs/>
          <w:spacing w:val="-4"/>
          <w:szCs w:val="24"/>
          <w:lang w:eastAsia="lv-LV"/>
        </w:rPr>
      </w:pPr>
      <w:r w:rsidRPr="009466C9">
        <w:rPr>
          <w:rFonts w:eastAsia="Times New Roman" w:cs="Times New Roman"/>
          <w:b/>
          <w:szCs w:val="24"/>
          <w:lang w:eastAsia="lv-LV"/>
        </w:rPr>
        <w:t xml:space="preserve">       </w:t>
      </w:r>
      <w:r w:rsidR="00A45F0B" w:rsidRPr="00AF1485">
        <w:rPr>
          <w:b/>
        </w:rPr>
        <w:t>Centrālā finanšu un līgumu aģentūra</w:t>
      </w:r>
      <w:r w:rsidRPr="009466C9">
        <w:rPr>
          <w:rFonts w:eastAsia="Times New Roman" w:cs="Times New Roman"/>
          <w:b/>
          <w:szCs w:val="24"/>
          <w:lang w:eastAsia="lv-LV"/>
        </w:rPr>
        <w:t xml:space="preserve"> (turpmāk </w:t>
      </w:r>
      <w:r w:rsidR="00A45F0B">
        <w:rPr>
          <w:rFonts w:eastAsia="Times New Roman" w:cs="Times New Roman"/>
          <w:bCs/>
          <w:szCs w:val="24"/>
          <w:lang w:eastAsia="lv-LV"/>
        </w:rPr>
        <w:t>–</w:t>
      </w:r>
      <w:r w:rsidRPr="009466C9">
        <w:rPr>
          <w:rFonts w:eastAsia="Times New Roman" w:cs="Times New Roman"/>
          <w:bCs/>
          <w:szCs w:val="24"/>
          <w:lang w:eastAsia="lv-LV"/>
        </w:rPr>
        <w:t xml:space="preserve"> </w:t>
      </w:r>
      <w:r w:rsidR="00A45F0B">
        <w:rPr>
          <w:rFonts w:eastAsia="Times New Roman" w:cs="Times New Roman"/>
          <w:b/>
          <w:szCs w:val="24"/>
          <w:lang w:eastAsia="lv-LV"/>
        </w:rPr>
        <w:t>Aģentūra</w:t>
      </w:r>
      <w:r w:rsidRPr="009466C9">
        <w:rPr>
          <w:rFonts w:eastAsia="Times New Roman" w:cs="Times New Roman"/>
          <w:b/>
          <w:szCs w:val="24"/>
          <w:lang w:eastAsia="lv-LV"/>
        </w:rPr>
        <w:t>)</w:t>
      </w:r>
      <w:r w:rsidRPr="009466C9">
        <w:rPr>
          <w:rFonts w:eastAsia="Times New Roman" w:cs="Times New Roman"/>
          <w:szCs w:val="24"/>
          <w:lang w:eastAsia="lv-LV"/>
        </w:rPr>
        <w:t xml:space="preserve">, reģ. Nr. </w:t>
      </w:r>
      <w:r w:rsidR="00A45F0B" w:rsidRPr="00AF1485">
        <w:t>90000812928</w:t>
      </w:r>
      <w:r w:rsidRPr="009466C9">
        <w:rPr>
          <w:rFonts w:eastAsia="Times New Roman" w:cs="Times New Roman"/>
          <w:szCs w:val="24"/>
          <w:lang w:eastAsia="lv-LV"/>
        </w:rPr>
        <w:t xml:space="preserve">, juridiskā adrese: Smilšu iela 1, Rīga, LV-1919, </w:t>
      </w:r>
      <w:r w:rsidR="00A45F0B">
        <w:t>tās direktora</w:t>
      </w:r>
      <w:r w:rsidR="00A45F0B" w:rsidRPr="00AF1485">
        <w:t xml:space="preserve"> </w:t>
      </w:r>
      <w:r w:rsidR="00A45F0B" w:rsidRPr="00A45F0B">
        <w:rPr>
          <w:b/>
        </w:rPr>
        <w:t>Mārti</w:t>
      </w:r>
      <w:r w:rsidR="00965C43">
        <w:rPr>
          <w:b/>
        </w:rPr>
        <w:t>ņ</w:t>
      </w:r>
      <w:r w:rsidR="00A45F0B" w:rsidRPr="00A45F0B">
        <w:rPr>
          <w:b/>
        </w:rPr>
        <w:t>a Brenča</w:t>
      </w:r>
      <w:r w:rsidR="00A45F0B">
        <w:t xml:space="preserve"> personā, kurš</w:t>
      </w:r>
      <w:r w:rsidR="00A45F0B" w:rsidRPr="00AF1485">
        <w:t xml:space="preserve"> darbojas uz Ministru kabineta 2012.gada 6.novembra noteikumu Nr.745 „Centrālās finanšu un līgumu aģentūras nolikums” pamata</w:t>
      </w:r>
      <w:r w:rsidR="00A45F0B">
        <w:t>,</w:t>
      </w:r>
      <w:r w:rsidR="00A45F0B" w:rsidRPr="00AF1485">
        <w:t xml:space="preserve"> un Finanšu vadības un grāmatvedības departamenta direktores </w:t>
      </w:r>
      <w:r w:rsidR="00A45F0B" w:rsidRPr="00AF1485">
        <w:rPr>
          <w:b/>
        </w:rPr>
        <w:t>Anitas Ozolas</w:t>
      </w:r>
      <w:r w:rsidR="00A45F0B" w:rsidRPr="00AF1485">
        <w:t xml:space="preserve"> personā, kura darbojas uz Ministru kabineta 2012.gada 6.novembra noteikumu Nr.745 „Centrālās finanšu un līgumu aģentūras nolikums” un Centrālās finanšu un līgumu aģentūras </w:t>
      </w:r>
      <w:r w:rsidR="00A45F0B" w:rsidRPr="00A05184">
        <w:t xml:space="preserve">2017.gada </w:t>
      </w:r>
      <w:r w:rsidR="00A45F0B" w:rsidRPr="00A05184">
        <w:rPr>
          <w:bCs/>
        </w:rPr>
        <w:t xml:space="preserve">22.septembra </w:t>
      </w:r>
      <w:r w:rsidR="00A45F0B">
        <w:t>iekšējo noteikumu Nr. 39-1-3/30</w:t>
      </w:r>
      <w:r w:rsidR="00A45F0B" w:rsidRPr="00AF1485">
        <w:t xml:space="preserve"> „Noteikumi par kārtību, kādā Centrālā finanšu un līgumu aģentūra īsteno ierobežotas atlases pirmās kārtas ietvaros apstiprinātos Eiropas Savienības fondu tehniskās palīdzības projektus”</w:t>
      </w:r>
      <w:r w:rsidRPr="009466C9">
        <w:rPr>
          <w:rFonts w:eastAsia="Times New Roman" w:cs="Times New Roman"/>
          <w:spacing w:val="-1"/>
          <w:szCs w:val="24"/>
          <w:lang w:eastAsia="lv-LV"/>
        </w:rPr>
        <w:t xml:space="preserve"> (</w:t>
      </w:r>
      <w:r w:rsidRPr="009466C9">
        <w:rPr>
          <w:rFonts w:eastAsia="Times New Roman" w:cs="Times New Roman"/>
          <w:szCs w:val="24"/>
          <w:lang w:eastAsia="lv-LV"/>
        </w:rPr>
        <w:t xml:space="preserve">turpmāk </w:t>
      </w:r>
      <w:r w:rsidRPr="009466C9">
        <w:rPr>
          <w:rFonts w:eastAsia="Times New Roman" w:cs="Times New Roman"/>
          <w:bCs/>
          <w:szCs w:val="24"/>
          <w:lang w:eastAsia="lv-LV"/>
        </w:rPr>
        <w:t>−</w:t>
      </w:r>
      <w:r w:rsidRPr="009466C9">
        <w:rPr>
          <w:rFonts w:eastAsia="Times New Roman" w:cs="Times New Roman"/>
          <w:szCs w:val="24"/>
          <w:lang w:eastAsia="lv-LV"/>
        </w:rPr>
        <w:t xml:space="preserve"> </w:t>
      </w:r>
      <w:r w:rsidRPr="009466C9">
        <w:rPr>
          <w:rFonts w:eastAsia="Times New Roman" w:cs="Times New Roman"/>
          <w:bCs/>
          <w:szCs w:val="24"/>
          <w:lang w:eastAsia="lv-LV"/>
        </w:rPr>
        <w:t>APDROŠINĀJUMA ŅĒMĒJS</w:t>
      </w:r>
      <w:r w:rsidRPr="009466C9">
        <w:rPr>
          <w:rFonts w:eastAsia="Times New Roman" w:cs="Times New Roman"/>
          <w:bCs/>
          <w:i/>
          <w:szCs w:val="24"/>
          <w:lang w:eastAsia="lv-LV"/>
        </w:rPr>
        <w:t>)</w:t>
      </w:r>
      <w:r w:rsidRPr="009466C9">
        <w:rPr>
          <w:rFonts w:eastAsia="Times New Roman" w:cs="Times New Roman"/>
          <w:spacing w:val="-1"/>
          <w:szCs w:val="24"/>
          <w:lang w:eastAsia="lv-LV"/>
        </w:rPr>
        <w:t>, no vienas puses,</w:t>
      </w:r>
      <w:r w:rsidRPr="009466C9">
        <w:rPr>
          <w:rFonts w:eastAsia="Times New Roman" w:cs="Times New Roman"/>
          <w:szCs w:val="24"/>
          <w:lang w:eastAsia="lv-LV"/>
        </w:rPr>
        <w:t xml:space="preserve"> </w:t>
      </w:r>
      <w:r w:rsidRPr="009466C9">
        <w:rPr>
          <w:rFonts w:eastAsia="Times New Roman" w:cs="Times New Roman"/>
          <w:bCs/>
          <w:spacing w:val="-4"/>
          <w:szCs w:val="24"/>
          <w:lang w:eastAsia="lv-LV"/>
        </w:rPr>
        <w:t>un</w:t>
      </w:r>
    </w:p>
    <w:p w:rsidR="009466C9" w:rsidRPr="009466C9" w:rsidRDefault="009466C9" w:rsidP="009466C9">
      <w:pPr>
        <w:jc w:val="both"/>
        <w:rPr>
          <w:rFonts w:eastAsia="Times New Roman" w:cs="Times New Roman"/>
          <w:szCs w:val="24"/>
          <w:lang w:eastAsia="lv-LV"/>
        </w:rPr>
      </w:pPr>
      <w:r w:rsidRPr="009466C9">
        <w:rPr>
          <w:rFonts w:eastAsia="Times New Roman" w:cs="Times New Roman"/>
          <w:szCs w:val="24"/>
          <w:lang w:eastAsia="lv-LV"/>
        </w:rPr>
        <w:t xml:space="preserve"> </w:t>
      </w:r>
    </w:p>
    <w:p w:rsidR="009466C9" w:rsidRPr="009466C9" w:rsidRDefault="009466C9" w:rsidP="009466C9">
      <w:pPr>
        <w:keepNext/>
        <w:jc w:val="both"/>
        <w:outlineLvl w:val="2"/>
        <w:rPr>
          <w:rFonts w:eastAsia="Times New Roman" w:cs="Times New Roman"/>
          <w:szCs w:val="24"/>
          <w:lang w:eastAsia="lv-LV"/>
        </w:rPr>
      </w:pPr>
      <w:r w:rsidRPr="009466C9">
        <w:rPr>
          <w:rFonts w:eastAsia="Times New Roman" w:cs="Times New Roman"/>
          <w:b/>
          <w:bCs/>
          <w:szCs w:val="24"/>
          <w:lang w:eastAsia="lv-LV"/>
        </w:rPr>
        <w:t xml:space="preserve">                 </w:t>
      </w:r>
      <w:r w:rsidRPr="009466C9">
        <w:rPr>
          <w:rFonts w:eastAsia="Times New Roman" w:cs="Times New Roman"/>
          <w:b/>
          <w:szCs w:val="24"/>
          <w:lang w:eastAsia="lv-LV"/>
        </w:rPr>
        <w:t>Compensa Life Vienna Insurance Group SE Latvijas filiāle</w:t>
      </w:r>
      <w:r w:rsidRPr="009466C9">
        <w:rPr>
          <w:rFonts w:eastAsia="Times New Roman" w:cs="Times New Roman"/>
          <w:bCs/>
          <w:szCs w:val="24"/>
          <w:lang w:eastAsia="lv-LV"/>
        </w:rPr>
        <w:t xml:space="preserve">, </w:t>
      </w:r>
      <w:r w:rsidRPr="009466C9">
        <w:rPr>
          <w:rFonts w:eastAsia="Times New Roman" w:cs="Times New Roman"/>
          <w:szCs w:val="24"/>
        </w:rPr>
        <w:t xml:space="preserve">kura reģistrēta </w:t>
      </w:r>
      <w:r w:rsidRPr="009466C9">
        <w:rPr>
          <w:rFonts w:cs="Times New Roman"/>
          <w:szCs w:val="24"/>
        </w:rPr>
        <w:t>Compensa Life Vienna Insurance Group SE Latvijas filiāle</w:t>
      </w:r>
      <w:r w:rsidRPr="009466C9">
        <w:rPr>
          <w:rFonts w:eastAsia="Times New Roman" w:cs="Times New Roman"/>
          <w:szCs w:val="24"/>
        </w:rPr>
        <w:t xml:space="preserve"> ar reģ. Nr.</w:t>
      </w:r>
      <w:r w:rsidRPr="009466C9">
        <w:rPr>
          <w:rFonts w:cs="Times New Roman"/>
          <w:bCs/>
          <w:szCs w:val="24"/>
        </w:rPr>
        <w:t xml:space="preserve"> 50003958651</w:t>
      </w:r>
      <w:r w:rsidRPr="009466C9">
        <w:rPr>
          <w:rFonts w:eastAsia="Times New Roman" w:cs="Times New Roman"/>
          <w:szCs w:val="24"/>
        </w:rPr>
        <w:t xml:space="preserve">, juridiskā adrese: </w:t>
      </w:r>
      <w:r w:rsidRPr="009466C9">
        <w:rPr>
          <w:rFonts w:cs="Times New Roman"/>
          <w:bCs/>
          <w:szCs w:val="24"/>
        </w:rPr>
        <w:t xml:space="preserve">Vienības gatve 87h, Rīga, LV-1004 </w:t>
      </w:r>
      <w:r w:rsidRPr="009466C9">
        <w:rPr>
          <w:rFonts w:eastAsia="Times New Roman" w:cs="Times New Roman"/>
          <w:szCs w:val="24"/>
        </w:rPr>
        <w:t>un, kuras vārdā saskaņā ar pilnvaru rīkojas, tās</w:t>
      </w:r>
      <w:r w:rsidRPr="009466C9">
        <w:rPr>
          <w:rFonts w:eastAsia="Times New Roman" w:cs="Times New Roman"/>
          <w:i/>
          <w:szCs w:val="24"/>
        </w:rPr>
        <w:t xml:space="preserve"> </w:t>
      </w:r>
      <w:r w:rsidRPr="009466C9">
        <w:rPr>
          <w:rFonts w:eastAsia="Times New Roman" w:cs="Times New Roman"/>
          <w:szCs w:val="24"/>
          <w:lang w:eastAsia="lv-LV"/>
        </w:rPr>
        <w:t xml:space="preserve">filiāles vadītājs Viktora Gustsona personā (turpmāk </w:t>
      </w:r>
      <w:r w:rsidRPr="009466C9">
        <w:rPr>
          <w:rFonts w:eastAsia="Times New Roman" w:cs="Times New Roman"/>
          <w:bCs/>
          <w:szCs w:val="24"/>
          <w:lang w:eastAsia="lv-LV"/>
        </w:rPr>
        <w:t>−</w:t>
      </w:r>
      <w:r w:rsidRPr="009466C9">
        <w:rPr>
          <w:rFonts w:eastAsia="Times New Roman" w:cs="Times New Roman"/>
          <w:szCs w:val="24"/>
          <w:lang w:eastAsia="lv-LV"/>
        </w:rPr>
        <w:t xml:space="preserve"> APDROŠINĀTĀJS), no otras puses, un abas kopā un katra atsevišķi sauktas par Pusēm,</w:t>
      </w:r>
    </w:p>
    <w:p w:rsidR="009466C9" w:rsidRPr="009466C9" w:rsidRDefault="009466C9" w:rsidP="009466C9">
      <w:pPr>
        <w:spacing w:after="120"/>
        <w:jc w:val="both"/>
        <w:rPr>
          <w:rFonts w:eastAsia="Times New Roman" w:cs="Times New Roman"/>
          <w:szCs w:val="24"/>
          <w:lang w:eastAsia="lv-LV"/>
        </w:rPr>
      </w:pPr>
      <w:r w:rsidRPr="009466C9">
        <w:rPr>
          <w:rFonts w:eastAsia="Times New Roman" w:cs="Times New Roman"/>
          <w:szCs w:val="24"/>
          <w:lang w:eastAsia="lv-LV"/>
        </w:rPr>
        <w:t xml:space="preserve">                   pamatojoties uz Publisko iepirkumu likumu (turpmāk </w:t>
      </w:r>
      <w:r w:rsidRPr="009466C9">
        <w:rPr>
          <w:rFonts w:eastAsia="Times New Roman" w:cs="Times New Roman"/>
          <w:bCs/>
          <w:szCs w:val="24"/>
          <w:lang w:eastAsia="lv-LV"/>
        </w:rPr>
        <w:t>−</w:t>
      </w:r>
      <w:r w:rsidRPr="009466C9">
        <w:rPr>
          <w:rFonts w:eastAsia="Times New Roman" w:cs="Times New Roman"/>
          <w:szCs w:val="24"/>
          <w:lang w:eastAsia="lv-LV"/>
        </w:rPr>
        <w:t xml:space="preserve"> PIL), 2017.gada 22.novembra iepirkuma komisijas lēmumu atklātā konkursā </w:t>
      </w:r>
      <w:r w:rsidRPr="009466C9">
        <w:rPr>
          <w:rFonts w:eastAsia="Calibri" w:cs="Times New Roman"/>
          <w:bCs/>
        </w:rPr>
        <w:t>„</w:t>
      </w:r>
      <w:r w:rsidRPr="009466C9">
        <w:rPr>
          <w:rFonts w:eastAsia="Calibri" w:cs="Times New Roman"/>
          <w:szCs w:val="24"/>
        </w:rPr>
        <w:t>Finanšu ministrijas, tās padotības iestāžu un Fiskālās disciplīnas padomes nodarbināto personu veselības apdrošināšana</w:t>
      </w:r>
      <w:r w:rsidRPr="009466C9">
        <w:rPr>
          <w:rFonts w:eastAsia="Calibri" w:cs="Times New Roman"/>
          <w:bCs/>
        </w:rPr>
        <w:t>”</w:t>
      </w:r>
      <w:r w:rsidRPr="009466C9">
        <w:rPr>
          <w:rFonts w:eastAsia="Times New Roman" w:cs="Times New Roman"/>
          <w:bCs/>
          <w:szCs w:val="24"/>
          <w:lang w:eastAsia="lv-LV"/>
        </w:rPr>
        <w:t xml:space="preserve"> (Iepirkuma identifikācijas Nr. </w:t>
      </w:r>
      <w:r w:rsidRPr="009466C9">
        <w:rPr>
          <w:rFonts w:eastAsia="Times New Roman" w:cs="Times New Roman"/>
          <w:szCs w:val="24"/>
          <w:lang w:eastAsia="lv-LV"/>
        </w:rPr>
        <w:t>FM2017/48 (CI)</w:t>
      </w:r>
      <w:r w:rsidRPr="009466C9">
        <w:rPr>
          <w:rFonts w:eastAsia="Times New Roman" w:cs="Times New Roman"/>
          <w:bCs/>
          <w:szCs w:val="24"/>
          <w:lang w:eastAsia="lv-LV"/>
        </w:rPr>
        <w:t>) (turpmāk − Konkurss)</w:t>
      </w:r>
      <w:r w:rsidRPr="009466C9">
        <w:rPr>
          <w:rFonts w:eastAsia="Times New Roman" w:cs="Times New Roman"/>
          <w:szCs w:val="24"/>
          <w:lang w:eastAsia="lv-LV"/>
        </w:rPr>
        <w:t xml:space="preserve"> un APDROŠINĀTĀJA Konkursam iesniegto piedāvājumu, noslēdz šādu līgumu (turpmāk </w:t>
      </w:r>
      <w:r w:rsidRPr="009466C9">
        <w:rPr>
          <w:rFonts w:eastAsia="Times New Roman" w:cs="Times New Roman"/>
          <w:bCs/>
          <w:szCs w:val="24"/>
          <w:lang w:eastAsia="lv-LV"/>
        </w:rPr>
        <w:t>−</w:t>
      </w:r>
      <w:r w:rsidRPr="009466C9">
        <w:rPr>
          <w:rFonts w:eastAsia="Times New Roman" w:cs="Times New Roman"/>
          <w:szCs w:val="24"/>
          <w:lang w:eastAsia="lv-LV"/>
        </w:rPr>
        <w:t xml:space="preserve"> </w:t>
      </w:r>
      <w:r w:rsidRPr="009466C9">
        <w:rPr>
          <w:rFonts w:eastAsia="Times New Roman" w:cs="Times New Roman"/>
          <w:bCs/>
          <w:szCs w:val="24"/>
          <w:lang w:eastAsia="lv-LV"/>
        </w:rPr>
        <w:t>Līgums</w:t>
      </w:r>
      <w:r w:rsidRPr="009466C9">
        <w:rPr>
          <w:rFonts w:eastAsia="Times New Roman" w:cs="Times New Roman"/>
          <w:szCs w:val="24"/>
          <w:lang w:eastAsia="lv-LV"/>
        </w:rPr>
        <w:t>):</w:t>
      </w:r>
    </w:p>
    <w:p w:rsidR="009466C9" w:rsidRDefault="009466C9" w:rsidP="009466C9">
      <w:pPr>
        <w:jc w:val="both"/>
        <w:rPr>
          <w:rFonts w:eastAsia="Times New Roman" w:cs="Times New Roman"/>
          <w:szCs w:val="24"/>
          <w:lang w:eastAsia="lv-LV"/>
        </w:rPr>
      </w:pPr>
    </w:p>
    <w:p w:rsidR="003053E6" w:rsidRPr="009466C9" w:rsidRDefault="003053E6" w:rsidP="009466C9">
      <w:pPr>
        <w:jc w:val="both"/>
        <w:rPr>
          <w:rFonts w:eastAsia="Times New Roman" w:cs="Times New Roman"/>
          <w:szCs w:val="24"/>
          <w:lang w:eastAsia="lv-LV"/>
        </w:rPr>
      </w:pPr>
    </w:p>
    <w:p w:rsidR="009466C9" w:rsidRPr="009466C9" w:rsidRDefault="009466C9" w:rsidP="009466C9">
      <w:pPr>
        <w:numPr>
          <w:ilvl w:val="0"/>
          <w:numId w:val="1"/>
        </w:numPr>
        <w:spacing w:after="120"/>
        <w:ind w:left="709" w:hanging="709"/>
        <w:jc w:val="center"/>
        <w:rPr>
          <w:rFonts w:eastAsia="Times New Roman" w:cs="Times New Roman"/>
          <w:b/>
          <w:bCs/>
          <w:szCs w:val="24"/>
          <w:lang w:eastAsia="lv-LV"/>
        </w:rPr>
      </w:pPr>
      <w:r w:rsidRPr="009466C9">
        <w:rPr>
          <w:rFonts w:eastAsia="Times New Roman" w:cs="Times New Roman"/>
          <w:b/>
          <w:bCs/>
          <w:szCs w:val="24"/>
          <w:lang w:eastAsia="lv-LV"/>
        </w:rPr>
        <w:t>Līguma priekšmets</w:t>
      </w:r>
    </w:p>
    <w:p w:rsidR="009466C9" w:rsidRPr="009466C9" w:rsidRDefault="009466C9" w:rsidP="009466C9">
      <w:pPr>
        <w:widowControl w:val="0"/>
        <w:jc w:val="both"/>
        <w:rPr>
          <w:rFonts w:eastAsia="Times New Roman" w:cs="Times New Roman"/>
          <w:b/>
          <w:bCs/>
          <w:szCs w:val="24"/>
          <w:lang w:eastAsia="lv-LV"/>
        </w:rPr>
      </w:pPr>
      <w:r w:rsidRPr="009466C9">
        <w:rPr>
          <w:rFonts w:eastAsia="Times New Roman" w:cs="Times New Roman"/>
          <w:bCs/>
          <w:szCs w:val="24"/>
          <w:lang w:eastAsia="lv-LV"/>
        </w:rPr>
        <w:t xml:space="preserve">APDROŠINĀJUMA ŅĒMĒJS  uzdod un APDROŠINĀTĀJS veic </w:t>
      </w:r>
      <w:r w:rsidRPr="009466C9">
        <w:rPr>
          <w:rFonts w:eastAsia="Times New Roman" w:cs="Times New Roman"/>
          <w:bCs/>
          <w:iCs/>
          <w:szCs w:val="24"/>
          <w:lang w:eastAsia="lv-LV"/>
        </w:rPr>
        <w:t>veselības apdrošināšanas pakalpojumu</w:t>
      </w:r>
      <w:r w:rsidRPr="009466C9">
        <w:rPr>
          <w:rFonts w:eastAsia="Times New Roman" w:cs="Times New Roman"/>
          <w:bCs/>
          <w:szCs w:val="24"/>
          <w:lang w:eastAsia="lv-LV"/>
        </w:rPr>
        <w:t xml:space="preserve"> (turpmāk – Pakalpojums)</w:t>
      </w:r>
      <w:r w:rsidRPr="009466C9">
        <w:rPr>
          <w:rFonts w:eastAsia="Times New Roman" w:cs="Times New Roman"/>
          <w:szCs w:val="24"/>
          <w:lang w:eastAsia="lv-LV"/>
        </w:rPr>
        <w:t xml:space="preserve"> saskaņā ar šā Līguma 1.pielikumu (Tehniskā specifikācija), 2.pielikumu (Finanšu piedāvājums), 3.pielikumu (Apdrošināto personu saraksts) un 4.pielikumu (Apdrošināšanas noteikumi un programma), kas ir neatņemamas tā sastāvdaļas.</w:t>
      </w:r>
    </w:p>
    <w:p w:rsidR="009466C9" w:rsidRDefault="009466C9" w:rsidP="009466C9">
      <w:pPr>
        <w:widowControl w:val="0"/>
        <w:ind w:left="680"/>
        <w:jc w:val="both"/>
        <w:rPr>
          <w:rFonts w:eastAsia="Times New Roman" w:cs="Times New Roman"/>
          <w:bCs/>
          <w:szCs w:val="24"/>
          <w:lang w:eastAsia="lv-LV"/>
        </w:rPr>
      </w:pPr>
    </w:p>
    <w:p w:rsidR="003053E6" w:rsidRPr="009466C9" w:rsidRDefault="003053E6" w:rsidP="009466C9">
      <w:pPr>
        <w:widowControl w:val="0"/>
        <w:ind w:left="680"/>
        <w:jc w:val="both"/>
        <w:rPr>
          <w:rFonts w:eastAsia="Times New Roman" w:cs="Times New Roman"/>
          <w:bCs/>
          <w:szCs w:val="24"/>
          <w:lang w:eastAsia="lv-LV"/>
        </w:rPr>
      </w:pPr>
    </w:p>
    <w:p w:rsidR="009466C9" w:rsidRPr="009466C9" w:rsidRDefault="009466C9" w:rsidP="009466C9">
      <w:pPr>
        <w:numPr>
          <w:ilvl w:val="0"/>
          <w:numId w:val="1"/>
        </w:numPr>
        <w:spacing w:after="120"/>
        <w:ind w:left="709" w:hanging="709"/>
        <w:jc w:val="center"/>
        <w:rPr>
          <w:rFonts w:eastAsia="Times New Roman" w:cs="Times New Roman"/>
          <w:b/>
          <w:bCs/>
          <w:szCs w:val="24"/>
          <w:lang w:eastAsia="lv-LV"/>
        </w:rPr>
      </w:pPr>
      <w:r w:rsidRPr="009466C9">
        <w:rPr>
          <w:rFonts w:eastAsia="Times New Roman" w:cs="Times New Roman"/>
          <w:b/>
          <w:bCs/>
          <w:szCs w:val="24"/>
          <w:lang w:eastAsia="lv-LV"/>
        </w:rPr>
        <w:t xml:space="preserve">Līguma izpildes vieta, spēkā stāšanās un  darbības laiks </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Līguma izpildes vieta: Latvija Republikas teritorija.</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Līguma izpildes laiks: divi apdrošināšanas gadi.</w:t>
      </w:r>
    </w:p>
    <w:p w:rsidR="009466C9" w:rsidRPr="009466C9" w:rsidRDefault="009466C9" w:rsidP="009466C9">
      <w:pPr>
        <w:numPr>
          <w:ilvl w:val="1"/>
          <w:numId w:val="1"/>
        </w:numPr>
        <w:tabs>
          <w:tab w:val="left" w:pos="540"/>
        </w:tabs>
        <w:suppressAutoHyphens/>
        <w:ind w:left="709" w:hanging="709"/>
        <w:contextualSpacing/>
        <w:jc w:val="both"/>
        <w:rPr>
          <w:rFonts w:eastAsia="Calibri" w:cs="Times New Roman"/>
          <w:szCs w:val="24"/>
          <w:lang w:eastAsia="lv-LV"/>
        </w:rPr>
      </w:pPr>
      <w:r w:rsidRPr="009466C9">
        <w:rPr>
          <w:rFonts w:eastAsia="Times New Roman" w:cs="Times New Roman"/>
          <w:szCs w:val="24"/>
          <w:lang w:eastAsia="lv-LV"/>
        </w:rPr>
        <w:t xml:space="preserve">   Līgums stājas spēkā ar tā parakstīšanas dienu un </w:t>
      </w:r>
      <w:r w:rsidRPr="009466C9">
        <w:rPr>
          <w:rFonts w:eastAsia="Calibri" w:cs="Times New Roman"/>
          <w:szCs w:val="24"/>
        </w:rPr>
        <w:t xml:space="preserve">ir spēkā līdz Līgumā paredzēto saistību pilnīgai izpildei par šā </w:t>
      </w:r>
      <w:r w:rsidRPr="009466C9">
        <w:rPr>
          <w:rFonts w:eastAsia="Times New Roman" w:cs="Times New Roman"/>
          <w:bCs/>
          <w:szCs w:val="24"/>
          <w:lang w:eastAsia="ar-SA"/>
        </w:rPr>
        <w:t xml:space="preserve">Līguma 5.1.apakšpunktā norādīto </w:t>
      </w:r>
      <w:r w:rsidRPr="009466C9">
        <w:rPr>
          <w:rFonts w:eastAsia="Times New Roman" w:cs="Times New Roman"/>
          <w:szCs w:val="24"/>
          <w:lang w:eastAsia="lv-LV"/>
        </w:rPr>
        <w:t>Kopējo Līgumcenu.</w:t>
      </w:r>
    </w:p>
    <w:p w:rsidR="009466C9" w:rsidRDefault="009466C9" w:rsidP="009466C9">
      <w:pPr>
        <w:tabs>
          <w:tab w:val="left" w:pos="540"/>
        </w:tabs>
        <w:suppressAutoHyphens/>
        <w:contextualSpacing/>
        <w:jc w:val="both"/>
        <w:rPr>
          <w:rFonts w:eastAsia="Calibri" w:cs="Times New Roman"/>
          <w:szCs w:val="24"/>
          <w:lang w:eastAsia="lv-LV"/>
        </w:rPr>
      </w:pPr>
    </w:p>
    <w:p w:rsidR="003053E6" w:rsidRPr="009466C9" w:rsidRDefault="003053E6" w:rsidP="009466C9">
      <w:pPr>
        <w:tabs>
          <w:tab w:val="left" w:pos="540"/>
        </w:tabs>
        <w:suppressAutoHyphens/>
        <w:contextualSpacing/>
        <w:jc w:val="both"/>
        <w:rPr>
          <w:rFonts w:eastAsia="Calibri" w:cs="Times New Roman"/>
          <w:szCs w:val="24"/>
          <w:lang w:eastAsia="lv-LV"/>
        </w:rPr>
      </w:pPr>
    </w:p>
    <w:p w:rsidR="009466C9" w:rsidRPr="009466C9" w:rsidRDefault="009466C9" w:rsidP="009466C9">
      <w:pPr>
        <w:numPr>
          <w:ilvl w:val="0"/>
          <w:numId w:val="1"/>
        </w:numPr>
        <w:tabs>
          <w:tab w:val="left" w:pos="540"/>
          <w:tab w:val="num" w:pos="567"/>
        </w:tabs>
        <w:suppressAutoHyphens/>
        <w:spacing w:before="120" w:after="120"/>
        <w:ind w:left="357" w:hanging="357"/>
        <w:contextualSpacing/>
        <w:jc w:val="center"/>
        <w:rPr>
          <w:rFonts w:eastAsia="Times New Roman" w:cs="Times New Roman"/>
          <w:b/>
          <w:bCs/>
          <w:szCs w:val="24"/>
          <w:lang w:eastAsia="lv-LV"/>
        </w:rPr>
      </w:pPr>
      <w:r w:rsidRPr="009466C9">
        <w:rPr>
          <w:rFonts w:eastAsia="Times New Roman" w:cs="Times New Roman"/>
          <w:b/>
          <w:bCs/>
          <w:szCs w:val="24"/>
          <w:lang w:eastAsia="lv-LV"/>
        </w:rPr>
        <w:t>Apdrošinātās personas</w:t>
      </w:r>
    </w:p>
    <w:p w:rsidR="009466C9" w:rsidRPr="009466C9" w:rsidRDefault="009466C9" w:rsidP="009466C9">
      <w:pPr>
        <w:tabs>
          <w:tab w:val="left" w:pos="540"/>
        </w:tabs>
        <w:suppressAutoHyphens/>
        <w:spacing w:before="120" w:after="120"/>
        <w:contextualSpacing/>
        <w:jc w:val="center"/>
        <w:rPr>
          <w:rFonts w:eastAsia="Times New Roman" w:cs="Times New Roman"/>
          <w:b/>
          <w:bCs/>
          <w:szCs w:val="24"/>
          <w:lang w:eastAsia="lv-LV"/>
        </w:rPr>
      </w:pP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APDROŠINĀTĀJS saskaņā ar Līguma 1.pielikumu (Tehniskā specifikācija)  apdrošina veselību APDROŠINĀJUMA ŅĒMĒJA norādītiem darbiniekiem (turpmāk- Apdrošināmās/tās personas), kas ir iekļautas apdrošināto  personu sarakstā (turpmāk – Apdrošināto saraksts).</w:t>
      </w:r>
    </w:p>
    <w:p w:rsidR="009466C9" w:rsidRPr="009466C9" w:rsidRDefault="009466C9" w:rsidP="009466C9">
      <w:pPr>
        <w:numPr>
          <w:ilvl w:val="1"/>
          <w:numId w:val="1"/>
        </w:numPr>
        <w:ind w:left="709" w:hanging="709"/>
        <w:contextualSpacing/>
        <w:jc w:val="both"/>
        <w:rPr>
          <w:rFonts w:eastAsia="Times New Roman" w:cs="Times New Roman"/>
          <w:bCs/>
          <w:szCs w:val="24"/>
          <w:lang w:eastAsia="lv-LV"/>
        </w:rPr>
      </w:pPr>
      <w:r w:rsidRPr="009466C9">
        <w:rPr>
          <w:rFonts w:eastAsia="Times New Roman" w:cs="Times New Roman"/>
          <w:bCs/>
          <w:szCs w:val="24"/>
          <w:lang w:eastAsia="lv-LV"/>
        </w:rPr>
        <w:lastRenderedPageBreak/>
        <w:t xml:space="preserve">Pēc Līguma spēkā stāšanās un pēc pirmā apdrošināšanas gada APDROŠINĀJUMA ŅĒMĒJS iesniedz APDROŠINĀTĀJAM Apdrošināto sarakstu, kurā norāda Apdrošināmo personu  skaitu, vārdu, uzvārdu, personas kodu, izvēlēto apdrošināšanas programmu.  </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 xml:space="preserve"> APDROŠINĀTĀJAM saskaņā ar Līguma 1.pielikuma noteikumiem jānodrošina iespēja APDROŠINĀJUMA ŅĒMĒJAM veikt izmaiņas Apdrošināto sarakstā ne retāk kā 1 (</w:t>
      </w:r>
      <w:r w:rsidRPr="009466C9">
        <w:rPr>
          <w:rFonts w:eastAsia="Times New Roman" w:cs="Times New Roman"/>
          <w:bCs/>
          <w:i/>
          <w:szCs w:val="24"/>
          <w:lang w:eastAsia="lv-LV"/>
        </w:rPr>
        <w:t>vienu</w:t>
      </w:r>
      <w:r w:rsidRPr="009466C9">
        <w:rPr>
          <w:rFonts w:eastAsia="Times New Roman" w:cs="Times New Roman"/>
          <w:bCs/>
          <w:szCs w:val="24"/>
          <w:lang w:eastAsia="lv-LV"/>
        </w:rPr>
        <w:t>) reizi mēnesī visā Līguma spēkā esamības laikā.</w:t>
      </w:r>
    </w:p>
    <w:p w:rsidR="009466C9" w:rsidRPr="009466C9" w:rsidRDefault="009466C9" w:rsidP="009466C9">
      <w:pPr>
        <w:ind w:left="709" w:hanging="709"/>
        <w:jc w:val="both"/>
        <w:rPr>
          <w:rFonts w:eastAsia="Times New Roman" w:cs="Times New Roman"/>
          <w:sz w:val="22"/>
          <w:lang w:eastAsia="lv-LV"/>
        </w:rPr>
      </w:pPr>
      <w:r w:rsidRPr="009466C9">
        <w:rPr>
          <w:rFonts w:eastAsia="Times New Roman" w:cs="Times New Roman"/>
          <w:szCs w:val="24"/>
          <w:lang w:eastAsia="lv-LV"/>
        </w:rPr>
        <w:t xml:space="preserve">3.4.     Sākotnējais Apdrošināto personu skaits Līguma spēkā esamības laikā var mainīties, par to APDROŠINĀJUMA ŅĒMĒJAM iesniedzot informāciju (rakstveida elektronisks paziņojums) APDROŠINĀTĀJAM, kurā norādītas Apdrošināto sarakstā iekļaujamās/no tā izslēdzamās Apdrošinātās personas, tajā skaitā Apdrošināto personu vārdu, uzvārdu, personas kodu un attiecīgo apdrošināšanas programmu. </w:t>
      </w:r>
    </w:p>
    <w:p w:rsidR="009466C9" w:rsidRDefault="009466C9" w:rsidP="009466C9">
      <w:pPr>
        <w:widowControl w:val="0"/>
        <w:jc w:val="both"/>
        <w:rPr>
          <w:rFonts w:eastAsia="Times New Roman" w:cs="Times New Roman"/>
          <w:bCs/>
          <w:szCs w:val="24"/>
          <w:lang w:eastAsia="lv-LV"/>
        </w:rPr>
      </w:pPr>
    </w:p>
    <w:p w:rsidR="003053E6" w:rsidRPr="009466C9" w:rsidRDefault="003053E6" w:rsidP="009466C9">
      <w:pPr>
        <w:widowControl w:val="0"/>
        <w:jc w:val="both"/>
        <w:rPr>
          <w:rFonts w:eastAsia="Times New Roman" w:cs="Times New Roman"/>
          <w:bCs/>
          <w:szCs w:val="24"/>
          <w:lang w:eastAsia="lv-LV"/>
        </w:rPr>
      </w:pPr>
    </w:p>
    <w:p w:rsidR="009466C9" w:rsidRDefault="009466C9" w:rsidP="009466C9">
      <w:pPr>
        <w:numPr>
          <w:ilvl w:val="0"/>
          <w:numId w:val="1"/>
        </w:numPr>
        <w:ind w:left="357" w:hanging="357"/>
        <w:jc w:val="center"/>
        <w:rPr>
          <w:rFonts w:eastAsia="Times New Roman" w:cs="Times New Roman"/>
          <w:b/>
          <w:bCs/>
          <w:szCs w:val="24"/>
          <w:lang w:eastAsia="lv-LV"/>
        </w:rPr>
      </w:pPr>
      <w:r w:rsidRPr="009466C9">
        <w:rPr>
          <w:rFonts w:eastAsia="Times New Roman" w:cs="Times New Roman"/>
          <w:b/>
          <w:bCs/>
          <w:szCs w:val="24"/>
          <w:lang w:eastAsia="lv-LV"/>
        </w:rPr>
        <w:t>Polise un individuālās apdrošināšanas kartes</w:t>
      </w:r>
    </w:p>
    <w:p w:rsidR="009466C9" w:rsidRPr="009466C9" w:rsidRDefault="009466C9" w:rsidP="009466C9">
      <w:pPr>
        <w:jc w:val="center"/>
        <w:rPr>
          <w:rFonts w:eastAsia="Times New Roman" w:cs="Times New Roman"/>
          <w:b/>
          <w:bCs/>
          <w:szCs w:val="24"/>
          <w:lang w:eastAsia="lv-LV"/>
        </w:rPr>
      </w:pP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APDROŠINĀTĀJS 10 (</w:t>
      </w:r>
      <w:r w:rsidRPr="009466C9">
        <w:rPr>
          <w:rFonts w:eastAsia="Times New Roman" w:cs="Times New Roman"/>
          <w:bCs/>
          <w:i/>
          <w:szCs w:val="24"/>
          <w:lang w:eastAsia="lv-LV"/>
        </w:rPr>
        <w:t>desmit</w:t>
      </w:r>
      <w:r w:rsidRPr="009466C9">
        <w:rPr>
          <w:rFonts w:eastAsia="Times New Roman" w:cs="Times New Roman"/>
          <w:bCs/>
          <w:szCs w:val="24"/>
          <w:lang w:eastAsia="lv-LV"/>
        </w:rPr>
        <w:t>) darbdienu laikā pēc Līguma spēkā stāšanās un Apdrošināto saraksta saņemšanas dienas, sagatavo un izsniedz APDROŠINĀJUMA ŅĒMĒJAM veselības apdrošināšanas polisi (turpmāk − Polise) uz 1 (</w:t>
      </w:r>
      <w:r w:rsidRPr="009466C9">
        <w:rPr>
          <w:rFonts w:eastAsia="Times New Roman" w:cs="Times New Roman"/>
          <w:bCs/>
          <w:i/>
          <w:szCs w:val="24"/>
          <w:lang w:eastAsia="lv-LV"/>
        </w:rPr>
        <w:t>vienu</w:t>
      </w:r>
      <w:r w:rsidRPr="009466C9">
        <w:rPr>
          <w:rFonts w:eastAsia="Times New Roman" w:cs="Times New Roman"/>
          <w:bCs/>
          <w:szCs w:val="24"/>
          <w:lang w:eastAsia="lv-LV"/>
        </w:rPr>
        <w:t>) gadu (turpmāk − Apdrošināšanas gads), kas kļūst par Līguma neatņemamu sastāvdaļu.</w:t>
      </w:r>
    </w:p>
    <w:p w:rsidR="009466C9" w:rsidRPr="009466C9" w:rsidRDefault="009466C9" w:rsidP="009466C9">
      <w:pPr>
        <w:numPr>
          <w:ilvl w:val="1"/>
          <w:numId w:val="1"/>
        </w:numPr>
        <w:ind w:left="567" w:hanging="567"/>
        <w:contextualSpacing/>
        <w:rPr>
          <w:rFonts w:eastAsia="Times New Roman" w:cs="Times New Roman"/>
          <w:bCs/>
          <w:szCs w:val="24"/>
          <w:lang w:eastAsia="lv-LV"/>
        </w:rPr>
      </w:pPr>
      <w:r w:rsidRPr="009466C9">
        <w:rPr>
          <w:rFonts w:eastAsia="Times New Roman" w:cs="Times New Roman"/>
          <w:bCs/>
          <w:szCs w:val="24"/>
          <w:lang w:eastAsia="lv-LV"/>
        </w:rPr>
        <w:t>Līgums paredz šādus Polises spēkā stāšanās periodus (turpmāk − periods):</w:t>
      </w:r>
    </w:p>
    <w:p w:rsidR="009466C9" w:rsidRPr="00093E27" w:rsidRDefault="009466C9" w:rsidP="009466C9">
      <w:pPr>
        <w:widowControl w:val="0"/>
        <w:numPr>
          <w:ilvl w:val="2"/>
          <w:numId w:val="1"/>
        </w:numPr>
        <w:ind w:left="1418" w:hanging="851"/>
        <w:contextualSpacing/>
        <w:jc w:val="both"/>
        <w:rPr>
          <w:rFonts w:eastAsia="Times New Roman" w:cs="Times New Roman"/>
          <w:bCs/>
          <w:szCs w:val="24"/>
          <w:lang w:eastAsia="lv-LV"/>
        </w:rPr>
      </w:pPr>
      <w:r w:rsidRPr="009466C9">
        <w:rPr>
          <w:rFonts w:eastAsia="Times New Roman" w:cs="Times New Roman"/>
          <w:bCs/>
          <w:szCs w:val="24"/>
          <w:lang w:eastAsia="lv-LV"/>
        </w:rPr>
        <w:t>1.</w:t>
      </w:r>
      <w:r w:rsidRPr="00093E27">
        <w:rPr>
          <w:rFonts w:eastAsia="Times New Roman" w:cs="Times New Roman"/>
          <w:bCs/>
          <w:szCs w:val="24"/>
          <w:lang w:eastAsia="lv-LV"/>
        </w:rPr>
        <w:t xml:space="preserve">periods: 2018.gada </w:t>
      </w:r>
      <w:r w:rsidR="00093E27" w:rsidRPr="00093E27">
        <w:rPr>
          <w:rFonts w:eastAsia="Times New Roman" w:cs="Times New Roman"/>
          <w:bCs/>
          <w:szCs w:val="24"/>
          <w:lang w:eastAsia="lv-LV"/>
        </w:rPr>
        <w:t>14</w:t>
      </w:r>
      <w:r w:rsidRPr="00093E27">
        <w:rPr>
          <w:rFonts w:eastAsia="Times New Roman" w:cs="Times New Roman"/>
          <w:bCs/>
          <w:szCs w:val="24"/>
          <w:lang w:eastAsia="lv-LV"/>
        </w:rPr>
        <w:t>.</w:t>
      </w:r>
      <w:r w:rsidR="00093E27" w:rsidRPr="00093E27">
        <w:rPr>
          <w:rFonts w:eastAsia="Times New Roman" w:cs="Times New Roman"/>
          <w:bCs/>
          <w:szCs w:val="24"/>
          <w:lang w:eastAsia="lv-LV"/>
        </w:rPr>
        <w:t>maijs</w:t>
      </w:r>
      <w:r w:rsidRPr="00093E27">
        <w:rPr>
          <w:rFonts w:eastAsia="Times New Roman" w:cs="Times New Roman"/>
          <w:bCs/>
          <w:szCs w:val="24"/>
          <w:lang w:eastAsia="lv-LV"/>
        </w:rPr>
        <w:t xml:space="preserve">, plkst. 00.00 un ir spēkā līdz 2019.gada </w:t>
      </w:r>
      <w:r w:rsidR="00093E27" w:rsidRPr="00093E27">
        <w:rPr>
          <w:rFonts w:eastAsia="Times New Roman" w:cs="Times New Roman"/>
          <w:bCs/>
          <w:szCs w:val="24"/>
          <w:lang w:eastAsia="lv-LV"/>
        </w:rPr>
        <w:t>13</w:t>
      </w:r>
      <w:r w:rsidRPr="00093E27">
        <w:rPr>
          <w:rFonts w:eastAsia="Times New Roman" w:cs="Times New Roman"/>
          <w:bCs/>
          <w:szCs w:val="24"/>
          <w:lang w:eastAsia="lv-LV"/>
        </w:rPr>
        <w:t>.</w:t>
      </w:r>
      <w:r w:rsidR="00093E27" w:rsidRPr="00093E27">
        <w:rPr>
          <w:rFonts w:eastAsia="Times New Roman" w:cs="Times New Roman"/>
          <w:bCs/>
          <w:szCs w:val="24"/>
          <w:lang w:eastAsia="lv-LV"/>
        </w:rPr>
        <w:t>maijam</w:t>
      </w:r>
      <w:r w:rsidRPr="00093E27">
        <w:rPr>
          <w:rFonts w:eastAsia="Times New Roman" w:cs="Times New Roman"/>
          <w:bCs/>
          <w:szCs w:val="24"/>
          <w:lang w:eastAsia="lv-LV"/>
        </w:rPr>
        <w:t>, plkst. 24.00;</w:t>
      </w:r>
    </w:p>
    <w:p w:rsidR="009466C9" w:rsidRPr="00093E27" w:rsidRDefault="009466C9" w:rsidP="009466C9">
      <w:pPr>
        <w:widowControl w:val="0"/>
        <w:numPr>
          <w:ilvl w:val="2"/>
          <w:numId w:val="1"/>
        </w:numPr>
        <w:ind w:left="1418" w:hanging="851"/>
        <w:contextualSpacing/>
        <w:jc w:val="both"/>
        <w:rPr>
          <w:rFonts w:eastAsia="Times New Roman" w:cs="Times New Roman"/>
          <w:bCs/>
          <w:szCs w:val="24"/>
          <w:lang w:eastAsia="lv-LV"/>
        </w:rPr>
      </w:pPr>
      <w:r w:rsidRPr="00093E27">
        <w:rPr>
          <w:rFonts w:eastAsia="Times New Roman" w:cs="Times New Roman"/>
          <w:bCs/>
          <w:szCs w:val="24"/>
          <w:lang w:eastAsia="lv-LV"/>
        </w:rPr>
        <w:t>2.periods:</w:t>
      </w:r>
      <w:r w:rsidRPr="00093E27">
        <w:rPr>
          <w:rFonts w:eastAsia="Times New Roman" w:cs="Times New Roman"/>
          <w:szCs w:val="24"/>
          <w:lang w:eastAsia="lv-LV"/>
        </w:rPr>
        <w:t xml:space="preserve"> </w:t>
      </w:r>
      <w:r w:rsidRPr="00093E27">
        <w:rPr>
          <w:rFonts w:eastAsia="Times New Roman" w:cs="Times New Roman"/>
          <w:bCs/>
          <w:szCs w:val="24"/>
          <w:lang w:eastAsia="lv-LV"/>
        </w:rPr>
        <w:t xml:space="preserve">2019.gada </w:t>
      </w:r>
      <w:r w:rsidR="00093E27" w:rsidRPr="00093E27">
        <w:rPr>
          <w:rFonts w:eastAsia="Times New Roman" w:cs="Times New Roman"/>
          <w:bCs/>
          <w:szCs w:val="24"/>
          <w:lang w:eastAsia="lv-LV"/>
        </w:rPr>
        <w:t>14.maijs</w:t>
      </w:r>
      <w:r w:rsidRPr="00093E27">
        <w:rPr>
          <w:rFonts w:eastAsia="Times New Roman" w:cs="Times New Roman"/>
          <w:bCs/>
          <w:szCs w:val="24"/>
          <w:lang w:eastAsia="lv-LV"/>
        </w:rPr>
        <w:t xml:space="preserve">, plkst. 00.00 un ir spēkā līdz 2020.gada </w:t>
      </w:r>
      <w:r w:rsidR="00093E27" w:rsidRPr="00093E27">
        <w:rPr>
          <w:rFonts w:eastAsia="Times New Roman" w:cs="Times New Roman"/>
          <w:bCs/>
          <w:szCs w:val="24"/>
          <w:lang w:eastAsia="lv-LV"/>
        </w:rPr>
        <w:t>13.maijam</w:t>
      </w:r>
      <w:r w:rsidRPr="00093E27">
        <w:rPr>
          <w:rFonts w:eastAsia="Times New Roman" w:cs="Times New Roman"/>
          <w:bCs/>
          <w:szCs w:val="24"/>
          <w:lang w:eastAsia="lv-LV"/>
        </w:rPr>
        <w:t>, plkst. 24.00.</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 xml:space="preserve">Vienlaicīgi ar Polises izsniegšanu APDROŠINĀTĀJS APDROŠINĀJUMA ŅĒMĒJAM piegādā Apdrošināto sarakstā iekļauto Apdrošināto personu individuālās veselības apdrošināšanas kartes (turpmāk − Karte) un, saskaņā ar Līguma 1.pielikumu, Līguma 13.1.apakšpunktā norādītai APDROŠINĀJUMA ŅĒMĒJA norādītai kontaktpersonai iesniedz elektroniski: </w:t>
      </w:r>
      <w:r w:rsidRPr="009466C9">
        <w:rPr>
          <w:rFonts w:eastAsia="Times New Roman" w:cs="Times New Roman"/>
          <w:szCs w:val="24"/>
          <w:lang w:eastAsia="lv-LV"/>
        </w:rPr>
        <w:t>detalizētu veselības apdrošināšanas programmas aprakstu (turpmāk – Programma) un informāciju par apdrošināšanas atlīdzības saņemšanas kārtību un noteikumiem, iestājoties apdrošināšanas gadījumam (turpmāk – Apdrošināšanas noteikumi).</w:t>
      </w:r>
    </w:p>
    <w:p w:rsidR="009466C9" w:rsidRPr="009466C9" w:rsidRDefault="009466C9" w:rsidP="009466C9">
      <w:pPr>
        <w:numPr>
          <w:ilvl w:val="1"/>
          <w:numId w:val="1"/>
        </w:numPr>
        <w:ind w:left="709" w:hanging="709"/>
        <w:contextualSpacing/>
        <w:jc w:val="both"/>
        <w:rPr>
          <w:rFonts w:eastAsia="Times New Roman" w:cs="Times New Roman"/>
          <w:szCs w:val="24"/>
          <w:lang w:eastAsia="lv-LV"/>
        </w:rPr>
      </w:pPr>
      <w:r w:rsidRPr="009466C9">
        <w:rPr>
          <w:rFonts w:eastAsia="Times New Roman" w:cs="Times New Roman"/>
          <w:szCs w:val="24"/>
          <w:lang w:eastAsia="lv-LV"/>
        </w:rPr>
        <w:t xml:space="preserve">Apdrošināšanas noteikumi nedrīkst atšķirties no Līguma noteikumiem un nedrīkst tikt iztulkoti šaurāk kā APDROŠINĀTĀJA iesniegtajā piedāvājumā Konkursam. Ja APDROŠINĀTĀJA apdrošināšanas noteikumi ir pretrunā ar šo Līgumu, tad galvenie ir Līguma nosacījumi. </w:t>
      </w:r>
    </w:p>
    <w:p w:rsidR="009466C9" w:rsidRPr="009466C9" w:rsidRDefault="009466C9" w:rsidP="009466C9">
      <w:pPr>
        <w:widowControl w:val="0"/>
        <w:numPr>
          <w:ilvl w:val="1"/>
          <w:numId w:val="1"/>
        </w:numPr>
        <w:ind w:left="709" w:hanging="709"/>
        <w:jc w:val="both"/>
        <w:rPr>
          <w:rFonts w:eastAsia="Times New Roman" w:cs="Times New Roman"/>
          <w:bCs/>
          <w:szCs w:val="24"/>
          <w:lang w:eastAsia="lv-LV"/>
        </w:rPr>
      </w:pPr>
      <w:r w:rsidRPr="009466C9">
        <w:rPr>
          <w:rFonts w:eastAsia="Times New Roman" w:cs="Times New Roman"/>
          <w:szCs w:val="24"/>
          <w:lang w:eastAsia="lv-LV"/>
        </w:rPr>
        <w:t>APDROŠINĀTĀJS</w:t>
      </w:r>
      <w:r w:rsidRPr="009466C9">
        <w:rPr>
          <w:rFonts w:eastAsia="Times New Roman" w:cs="Times New Roman"/>
          <w:bCs/>
          <w:szCs w:val="24"/>
          <w:lang w:eastAsia="lv-LV"/>
        </w:rPr>
        <w:t xml:space="preserve"> šā Līguma 8.4. apakšpunktā noteiktā gadījumā</w:t>
      </w:r>
      <w:r w:rsidRPr="009466C9">
        <w:rPr>
          <w:rFonts w:eastAsia="Times New Roman" w:cs="Times New Roman"/>
          <w:szCs w:val="24"/>
          <w:lang w:eastAsia="lv-LV"/>
        </w:rPr>
        <w:t xml:space="preserve"> </w:t>
      </w:r>
      <w:r w:rsidRPr="009466C9">
        <w:rPr>
          <w:rFonts w:eastAsia="Times New Roman" w:cs="Times New Roman"/>
          <w:bCs/>
          <w:szCs w:val="24"/>
          <w:lang w:eastAsia="lv-LV"/>
        </w:rPr>
        <w:t>5 (</w:t>
      </w:r>
      <w:r w:rsidRPr="009466C9">
        <w:rPr>
          <w:rFonts w:eastAsia="Times New Roman" w:cs="Times New Roman"/>
          <w:bCs/>
          <w:i/>
          <w:szCs w:val="24"/>
          <w:lang w:eastAsia="lv-LV"/>
        </w:rPr>
        <w:t>piecu</w:t>
      </w:r>
      <w:r w:rsidRPr="009466C9">
        <w:rPr>
          <w:rFonts w:eastAsia="Times New Roman" w:cs="Times New Roman"/>
          <w:bCs/>
          <w:szCs w:val="24"/>
          <w:lang w:eastAsia="lv-LV"/>
        </w:rPr>
        <w:t xml:space="preserve">) darbdienu laikā no maksājuma saņemšanas </w:t>
      </w:r>
      <w:r w:rsidRPr="009466C9">
        <w:rPr>
          <w:rFonts w:eastAsia="Times New Roman" w:cs="Times New Roman"/>
          <w:szCs w:val="24"/>
          <w:lang w:eastAsia="lv-LV"/>
        </w:rPr>
        <w:t xml:space="preserve"> </w:t>
      </w:r>
      <w:r w:rsidRPr="009466C9">
        <w:rPr>
          <w:rFonts w:eastAsia="Times New Roman" w:cs="Times New Roman"/>
          <w:bCs/>
          <w:szCs w:val="24"/>
          <w:lang w:eastAsia="lv-LV"/>
        </w:rPr>
        <w:t xml:space="preserve">Apdrošinātai personai </w:t>
      </w:r>
      <w:r w:rsidRPr="009466C9">
        <w:rPr>
          <w:rFonts w:eastAsia="Times New Roman" w:cs="Times New Roman"/>
          <w:szCs w:val="24"/>
          <w:lang w:eastAsia="lv-LV"/>
        </w:rPr>
        <w:t xml:space="preserve">bez papildus maksas nodrošina Līguma 4.3. apakšpunktā minēto dokumentu izsniegšanu/apmaiņu. </w:t>
      </w:r>
    </w:p>
    <w:p w:rsidR="009466C9" w:rsidRDefault="009466C9" w:rsidP="009466C9">
      <w:pPr>
        <w:widowControl w:val="0"/>
        <w:jc w:val="both"/>
        <w:rPr>
          <w:rFonts w:eastAsia="Times New Roman" w:cs="Times New Roman"/>
          <w:bCs/>
          <w:szCs w:val="24"/>
          <w:lang w:eastAsia="lv-LV"/>
        </w:rPr>
      </w:pPr>
      <w:r w:rsidRPr="009466C9">
        <w:rPr>
          <w:rFonts w:eastAsia="Times New Roman" w:cs="Times New Roman"/>
          <w:bCs/>
          <w:szCs w:val="24"/>
          <w:lang w:eastAsia="lv-LV"/>
        </w:rPr>
        <w:t xml:space="preserve"> </w:t>
      </w:r>
    </w:p>
    <w:p w:rsidR="003053E6" w:rsidRPr="009466C9" w:rsidRDefault="003053E6" w:rsidP="009466C9">
      <w:pPr>
        <w:widowControl w:val="0"/>
        <w:jc w:val="both"/>
        <w:rPr>
          <w:rFonts w:eastAsia="Times New Roman" w:cs="Times New Roman"/>
          <w:bCs/>
          <w:szCs w:val="24"/>
          <w:lang w:eastAsia="lv-LV"/>
        </w:rPr>
      </w:pPr>
    </w:p>
    <w:p w:rsidR="009466C9" w:rsidRPr="009466C9" w:rsidRDefault="009466C9" w:rsidP="009466C9">
      <w:pPr>
        <w:numPr>
          <w:ilvl w:val="0"/>
          <w:numId w:val="1"/>
        </w:numPr>
        <w:spacing w:after="120"/>
        <w:jc w:val="center"/>
        <w:rPr>
          <w:rFonts w:eastAsia="Times New Roman" w:cs="Times New Roman"/>
          <w:b/>
          <w:bCs/>
          <w:szCs w:val="24"/>
          <w:lang w:eastAsia="lv-LV"/>
        </w:rPr>
      </w:pPr>
      <w:r w:rsidRPr="009466C9">
        <w:rPr>
          <w:rFonts w:eastAsia="Times New Roman" w:cs="Times New Roman"/>
          <w:b/>
          <w:bCs/>
          <w:szCs w:val="24"/>
          <w:lang w:eastAsia="lv-LV"/>
        </w:rPr>
        <w:t>Līguma kopējā summa, apdrošināšanas summa un apdrošināšanas prēmija</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C16E2D">
        <w:rPr>
          <w:rFonts w:eastAsia="Times New Roman" w:cs="Times New Roman"/>
          <w:bCs/>
          <w:szCs w:val="24"/>
          <w:lang w:eastAsia="lv-LV"/>
        </w:rPr>
        <w:t>Kopējā līgumcena visā Līguma spēkā esamības laikā nedrīkst pārsniegt 179 281 EUR (</w:t>
      </w:r>
      <w:r w:rsidR="00C16E2D">
        <w:rPr>
          <w:rFonts w:eastAsia="Times New Roman" w:cs="Times New Roman"/>
          <w:bCs/>
          <w:i/>
          <w:szCs w:val="24"/>
          <w:lang w:eastAsia="lv-LV"/>
        </w:rPr>
        <w:t>viens simts septiņdesmit deviņi tūkstoši</w:t>
      </w:r>
      <w:r w:rsidRPr="00C16E2D">
        <w:rPr>
          <w:rFonts w:eastAsia="Times New Roman" w:cs="Times New Roman"/>
          <w:bCs/>
          <w:i/>
          <w:szCs w:val="24"/>
          <w:lang w:eastAsia="lv-LV"/>
        </w:rPr>
        <w:t xml:space="preserve"> </w:t>
      </w:r>
      <w:r w:rsidR="00C16E2D">
        <w:rPr>
          <w:rFonts w:eastAsia="Times New Roman" w:cs="Times New Roman"/>
          <w:bCs/>
          <w:i/>
          <w:szCs w:val="24"/>
          <w:lang w:eastAsia="lv-LV"/>
        </w:rPr>
        <w:t xml:space="preserve">divi simti astoņdesmit viens </w:t>
      </w:r>
      <w:r w:rsidRPr="00C16E2D">
        <w:rPr>
          <w:rFonts w:eastAsia="Times New Roman" w:cs="Times New Roman"/>
          <w:bCs/>
          <w:i/>
          <w:szCs w:val="24"/>
          <w:lang w:eastAsia="lv-LV"/>
        </w:rPr>
        <w:t>euro</w:t>
      </w:r>
      <w:r w:rsidRPr="00C16E2D">
        <w:rPr>
          <w:rFonts w:eastAsia="Times New Roman" w:cs="Times New Roman"/>
          <w:bCs/>
          <w:szCs w:val="24"/>
          <w:lang w:eastAsia="lv-LV"/>
        </w:rPr>
        <w:t>)</w:t>
      </w:r>
      <w:r w:rsidRPr="009466C9">
        <w:rPr>
          <w:rFonts w:eastAsia="Times New Roman" w:cs="Times New Roman"/>
          <w:bCs/>
          <w:szCs w:val="24"/>
          <w:lang w:eastAsia="lv-LV"/>
        </w:rPr>
        <w:t xml:space="preserve"> (turpmāk − Kopējā Līgumcena). Kopējā Līgumcenā ir iekļauta 20% (</w:t>
      </w:r>
      <w:r w:rsidRPr="009466C9">
        <w:rPr>
          <w:rFonts w:eastAsia="Times New Roman" w:cs="Times New Roman"/>
          <w:bCs/>
          <w:i/>
          <w:szCs w:val="24"/>
          <w:lang w:eastAsia="lv-LV"/>
        </w:rPr>
        <w:t>divdesmit procenti</w:t>
      </w:r>
      <w:r w:rsidRPr="009466C9">
        <w:rPr>
          <w:rFonts w:eastAsia="Times New Roman" w:cs="Times New Roman"/>
          <w:bCs/>
          <w:szCs w:val="24"/>
          <w:lang w:eastAsia="lv-LV"/>
        </w:rPr>
        <w:t>) APDROŠINĀJUMA ŅĒMĒJA rezerve atbilstoši paredzamām Apdrošināmo personu  skaita izmaiņām.</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Apdrošināšanas prēmija vienai Apdrošinātai personai, kura apdrošināta saskaņā ar Polises noteikumiem ir 213.43 EUR (</w:t>
      </w:r>
      <w:r w:rsidRPr="009466C9">
        <w:rPr>
          <w:rFonts w:eastAsia="Times New Roman" w:cs="Times New Roman"/>
          <w:bCs/>
          <w:i/>
          <w:szCs w:val="24"/>
          <w:lang w:eastAsia="lv-LV"/>
        </w:rPr>
        <w:t>divi simti trīspadsmit euro</w:t>
      </w:r>
      <w:r w:rsidRPr="009466C9">
        <w:rPr>
          <w:rFonts w:eastAsia="Times New Roman" w:cs="Times New Roman"/>
          <w:bCs/>
          <w:szCs w:val="24"/>
          <w:lang w:eastAsia="lv-LV"/>
        </w:rPr>
        <w:t xml:space="preserve"> 43 </w:t>
      </w:r>
      <w:r w:rsidRPr="009466C9">
        <w:rPr>
          <w:rFonts w:eastAsia="Times New Roman" w:cs="Times New Roman"/>
          <w:bCs/>
          <w:i/>
          <w:szCs w:val="24"/>
          <w:lang w:eastAsia="lv-LV"/>
        </w:rPr>
        <w:t>centi</w:t>
      </w:r>
      <w:r w:rsidRPr="009466C9">
        <w:rPr>
          <w:rFonts w:eastAsia="Times New Roman" w:cs="Times New Roman"/>
          <w:bCs/>
          <w:szCs w:val="24"/>
          <w:lang w:eastAsia="lv-LV"/>
        </w:rPr>
        <w:t>).</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Detalizētas Pakalpojuma izmaksas norādītas Līguma 1. un 2.pielikumā.</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Apdrošināšanas gada  apdrošināšanas summa un prēmija katrai Apdrošinātajai personai ir norādīta Polisē, kas ir Līguma neatņemama sastāvdaļa.</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szCs w:val="24"/>
        </w:rPr>
        <w:t xml:space="preserve">Apdrošināšanas prēmijā (turpmāk </w:t>
      </w:r>
      <w:r w:rsidRPr="009466C9">
        <w:rPr>
          <w:rFonts w:eastAsia="Times New Roman" w:cs="Times New Roman"/>
          <w:bCs/>
          <w:szCs w:val="24"/>
          <w:lang w:eastAsia="lv-LV"/>
        </w:rPr>
        <w:t>−</w:t>
      </w:r>
      <w:r w:rsidRPr="009466C9">
        <w:rPr>
          <w:rFonts w:eastAsia="Times New Roman" w:cs="Times New Roman"/>
          <w:szCs w:val="24"/>
        </w:rPr>
        <w:t xml:space="preserve"> Apdrošināšanas prēmija) ir ietvertas izmaksas, kas saistītas ar Pakalpojuma sniegšanu, tajā skaitā, Kartes, APDROŠINĀTĀJA darbinieku </w:t>
      </w:r>
      <w:r w:rsidRPr="009466C9">
        <w:rPr>
          <w:rFonts w:eastAsia="Times New Roman" w:cs="Times New Roman"/>
          <w:szCs w:val="24"/>
        </w:rPr>
        <w:lastRenderedPageBreak/>
        <w:t>darba samaksa, Pakalpojuma sniegšanā izmantojamie materiāli, inventārs, kas nepieciešams pilnīgai un kvalitatīvai Pakalpojuma izpildei, transporta izdevumi, kā arī uz Pakalpojuma sniegšanu attiecināmie nodokļi un nodevas, un citas ar Pakalpojuma sniegšanu saistītās visas izmaksas.</w:t>
      </w:r>
    </w:p>
    <w:p w:rsidR="009466C9" w:rsidRDefault="009466C9" w:rsidP="009466C9">
      <w:pPr>
        <w:widowControl w:val="0"/>
        <w:jc w:val="both"/>
        <w:rPr>
          <w:rFonts w:eastAsia="Times New Roman" w:cs="Times New Roman"/>
          <w:szCs w:val="24"/>
        </w:rPr>
      </w:pPr>
    </w:p>
    <w:p w:rsidR="003053E6" w:rsidRPr="009466C9" w:rsidRDefault="003053E6" w:rsidP="009466C9">
      <w:pPr>
        <w:widowControl w:val="0"/>
        <w:jc w:val="both"/>
        <w:rPr>
          <w:rFonts w:eastAsia="Times New Roman" w:cs="Times New Roman"/>
          <w:szCs w:val="24"/>
        </w:rPr>
      </w:pPr>
    </w:p>
    <w:p w:rsidR="009466C9" w:rsidRPr="009466C9" w:rsidRDefault="009466C9" w:rsidP="009466C9">
      <w:pPr>
        <w:numPr>
          <w:ilvl w:val="0"/>
          <w:numId w:val="1"/>
        </w:numPr>
        <w:jc w:val="center"/>
        <w:rPr>
          <w:rFonts w:eastAsia="Times New Roman" w:cs="Times New Roman"/>
          <w:b/>
          <w:bCs/>
          <w:szCs w:val="24"/>
          <w:lang w:eastAsia="lv-LV"/>
        </w:rPr>
      </w:pPr>
      <w:r w:rsidRPr="009466C9">
        <w:rPr>
          <w:rFonts w:eastAsia="Times New Roman" w:cs="Times New Roman"/>
          <w:b/>
          <w:bCs/>
          <w:szCs w:val="24"/>
          <w:lang w:eastAsia="lv-LV"/>
        </w:rPr>
        <w:t>Apakšuzņēmēji</w:t>
      </w:r>
    </w:p>
    <w:p w:rsidR="009466C9" w:rsidRPr="009466C9" w:rsidRDefault="009466C9" w:rsidP="009466C9">
      <w:pPr>
        <w:jc w:val="center"/>
        <w:rPr>
          <w:rFonts w:eastAsia="Times New Roman" w:cs="Times New Roman"/>
          <w:bCs/>
          <w:i/>
          <w:szCs w:val="24"/>
          <w:lang w:eastAsia="lv-LV"/>
        </w:rPr>
      </w:pPr>
      <w:r w:rsidRPr="009466C9">
        <w:rPr>
          <w:rFonts w:eastAsia="Times New Roman" w:cs="Times New Roman"/>
          <w:bCs/>
          <w:i/>
          <w:szCs w:val="24"/>
          <w:lang w:eastAsia="lv-LV"/>
        </w:rPr>
        <w:t xml:space="preserve">(attiecas uz gadījumiem, kad tiek piesaistīti Līguma izpildē) </w:t>
      </w:r>
    </w:p>
    <w:p w:rsidR="009466C9" w:rsidRPr="009466C9" w:rsidRDefault="009466C9" w:rsidP="009466C9">
      <w:pPr>
        <w:jc w:val="center"/>
        <w:rPr>
          <w:rFonts w:eastAsia="Times New Roman" w:cs="Times New Roman"/>
          <w:bCs/>
          <w:i/>
          <w:szCs w:val="24"/>
          <w:lang w:eastAsia="lv-LV"/>
        </w:rPr>
      </w:pPr>
    </w:p>
    <w:p w:rsidR="009466C9" w:rsidRPr="009466C9" w:rsidRDefault="009466C9" w:rsidP="009466C9">
      <w:pPr>
        <w:widowControl w:val="0"/>
        <w:tabs>
          <w:tab w:val="left" w:pos="426"/>
        </w:tabs>
        <w:autoSpaceDE w:val="0"/>
        <w:autoSpaceDN w:val="0"/>
        <w:adjustRightInd w:val="0"/>
        <w:ind w:left="993" w:hanging="993"/>
        <w:contextualSpacing/>
        <w:jc w:val="both"/>
        <w:rPr>
          <w:rFonts w:eastAsia="Times New Roman" w:cs="Times New Roman"/>
          <w:szCs w:val="24"/>
          <w:lang w:eastAsia="lv-LV"/>
        </w:rPr>
      </w:pPr>
      <w:r w:rsidRPr="009466C9">
        <w:rPr>
          <w:rFonts w:eastAsia="Times New Roman" w:cs="Times New Roman"/>
          <w:szCs w:val="24"/>
          <w:lang w:eastAsia="lv-LV"/>
        </w:rPr>
        <w:t>6.1.    Puses vienojas, ka</w:t>
      </w:r>
      <w:r w:rsidRPr="009466C9">
        <w:rPr>
          <w:rFonts w:eastAsia="Times New Roman" w:cs="Times New Roman"/>
          <w:b/>
          <w:szCs w:val="24"/>
          <w:lang w:eastAsia="lv-LV"/>
        </w:rPr>
        <w:t xml:space="preserve"> </w:t>
      </w:r>
      <w:r w:rsidRPr="009466C9">
        <w:rPr>
          <w:rFonts w:eastAsia="Times New Roman" w:cs="Times New Roman"/>
          <w:szCs w:val="24"/>
          <w:lang w:eastAsia="lv-LV"/>
        </w:rPr>
        <w:t>Līguma izpildē iesaistītā/o apakšuzņēmēja/u nomaiņa tiek veikta ievērojot PIL 62.panta tiesisko regulējumu, tajā skaitā:</w:t>
      </w:r>
    </w:p>
    <w:p w:rsidR="009466C9" w:rsidRPr="009466C9" w:rsidRDefault="009466C9" w:rsidP="009466C9">
      <w:pPr>
        <w:autoSpaceDE w:val="0"/>
        <w:autoSpaceDN w:val="0"/>
        <w:adjustRightInd w:val="0"/>
        <w:ind w:left="993" w:hanging="993"/>
        <w:jc w:val="both"/>
        <w:rPr>
          <w:rFonts w:cs="Times New Roman"/>
          <w:color w:val="FF0000"/>
          <w:szCs w:val="24"/>
        </w:rPr>
      </w:pPr>
      <w:r w:rsidRPr="009466C9">
        <w:rPr>
          <w:rFonts w:cs="Times New Roman"/>
          <w:color w:val="000000"/>
          <w:szCs w:val="24"/>
        </w:rPr>
        <w:t xml:space="preserve">       6.1.1. APDROŠINĀTĀJS  nav tiesīgs bez saskaņošanas ar APDROŠINĀŠANAS ŅĒMĒJU veikt Konkursam iesniegtā piedāvājumā  norādīto apakšuzņēmēju nomaiņu, kā arī papildu apakšuzņēmēju iesaistīšanu Līguma izpildē. </w:t>
      </w:r>
    </w:p>
    <w:p w:rsidR="009466C9" w:rsidRPr="009466C9" w:rsidRDefault="009466C9" w:rsidP="009466C9">
      <w:pPr>
        <w:autoSpaceDE w:val="0"/>
        <w:autoSpaceDN w:val="0"/>
        <w:adjustRightInd w:val="0"/>
        <w:ind w:left="1134" w:hanging="1134"/>
        <w:jc w:val="both"/>
        <w:rPr>
          <w:rFonts w:cs="Times New Roman"/>
          <w:color w:val="000000"/>
          <w:szCs w:val="24"/>
        </w:rPr>
      </w:pPr>
      <w:r w:rsidRPr="009466C9">
        <w:rPr>
          <w:rFonts w:cs="Times New Roman"/>
          <w:color w:val="000000"/>
          <w:szCs w:val="24"/>
        </w:rPr>
        <w:t xml:space="preserve">        6.1.2. APDROŠINĀŠANAS ŅĒMĒJS nepiekrīt APDROŠINĀTĀJA Konkursam iesniegtajā piedāvājumā norādīto apakšuzņēmēju nomaiņai, ja pastāv kāds no šādiem nosacījumiem:</w:t>
      </w:r>
    </w:p>
    <w:p w:rsidR="009466C9" w:rsidRPr="009466C9" w:rsidRDefault="009466C9" w:rsidP="009466C9">
      <w:pPr>
        <w:autoSpaceDE w:val="0"/>
        <w:autoSpaceDN w:val="0"/>
        <w:adjustRightInd w:val="0"/>
        <w:ind w:left="1843" w:hanging="1843"/>
        <w:jc w:val="both"/>
        <w:rPr>
          <w:rFonts w:cs="Times New Roman"/>
          <w:color w:val="000000"/>
          <w:szCs w:val="24"/>
        </w:rPr>
      </w:pPr>
      <w:r w:rsidRPr="009466C9">
        <w:rPr>
          <w:rFonts w:cs="Times New Roman"/>
          <w:color w:val="000000"/>
          <w:szCs w:val="24"/>
        </w:rPr>
        <w:t xml:space="preserve">                  6.1.2.1. APDROŠINĀTĀJA piedāvātais apakšuzņēmējs neatbilst tām paziņojumā par līgumu un Konkursa nolikumā noteiktajām prasībām, kas attiecas uz APDROŠINĀTĀJA apakšuzņēmējiem;</w:t>
      </w:r>
    </w:p>
    <w:p w:rsidR="009466C9" w:rsidRPr="009466C9" w:rsidRDefault="009466C9" w:rsidP="009466C9">
      <w:pPr>
        <w:autoSpaceDE w:val="0"/>
        <w:autoSpaceDN w:val="0"/>
        <w:adjustRightInd w:val="0"/>
        <w:ind w:left="1843" w:hanging="1843"/>
        <w:jc w:val="both"/>
        <w:rPr>
          <w:rFonts w:cs="Times New Roman"/>
          <w:color w:val="000000"/>
          <w:szCs w:val="24"/>
        </w:rPr>
      </w:pPr>
      <w:r w:rsidRPr="009466C9">
        <w:rPr>
          <w:rFonts w:cs="Times New Roman"/>
          <w:color w:val="000000"/>
          <w:szCs w:val="24"/>
        </w:rPr>
        <w:t xml:space="preserve">                  6.1.2.2. tiek nomainīts apakšuzņēmējs, uz kura iespējām Konkursā APDROŠINĀTĀJS balstījies, lai apliecinātu savas kvalifikācijas atbilstību paziņojumā par līgumu un Konkursa nolikumā noteiktajām prasībām, un piedāvātajam apakšuzņēmējam nav vismaz tādas pašas kvalifikācijas, uz kādu Konkursā APDROŠINĀTĀJS atsaucies, apliecinot savu atbilstību Konkursā noteiktajām prasībām, vai tas atbilst PIL 42.panta pirmajā daļā  minētajiem pretendentu izslēgšanas gadījumiem;</w:t>
      </w:r>
    </w:p>
    <w:p w:rsidR="009466C9" w:rsidRPr="009466C9" w:rsidRDefault="009466C9" w:rsidP="009466C9">
      <w:pPr>
        <w:autoSpaceDE w:val="0"/>
        <w:autoSpaceDN w:val="0"/>
        <w:adjustRightInd w:val="0"/>
        <w:ind w:left="1843" w:hanging="1843"/>
        <w:jc w:val="both"/>
        <w:rPr>
          <w:rFonts w:eastAsia="ヒラギノ角ゴ Pro W3" w:cs="Times New Roman"/>
          <w:szCs w:val="24"/>
          <w:lang w:eastAsia="lv-LV"/>
        </w:rPr>
      </w:pPr>
      <w:r w:rsidRPr="009466C9">
        <w:rPr>
          <w:rFonts w:cs="Times New Roman"/>
          <w:color w:val="000000"/>
          <w:szCs w:val="24"/>
        </w:rPr>
        <w:t xml:space="preserve">                   6.1.2.3. APDROŠINĀTĀJA piedāvātais apakšuzņēmējs, kura sniedzamo pakalpojumu vērtība ir vismaz 10% (desmit procenti) no kopējās iepirkuma līguma vērtības, atbilst PIL </w:t>
      </w:r>
      <w:r w:rsidRPr="009466C9">
        <w:rPr>
          <w:rFonts w:eastAsia="ヒラギノ角ゴ Pro W3" w:cs="Times New Roman"/>
          <w:szCs w:val="24"/>
          <w:lang w:eastAsia="lv-LV"/>
        </w:rPr>
        <w:t>42.panta pirmajā daļā  minētajiem pretendentu izslēgšanas gadījumiem;</w:t>
      </w:r>
    </w:p>
    <w:p w:rsidR="009466C9" w:rsidRPr="009466C9" w:rsidRDefault="009466C9" w:rsidP="009466C9">
      <w:pPr>
        <w:autoSpaceDE w:val="0"/>
        <w:autoSpaceDN w:val="0"/>
        <w:adjustRightInd w:val="0"/>
        <w:ind w:left="1985" w:hanging="1985"/>
        <w:jc w:val="both"/>
        <w:rPr>
          <w:rFonts w:eastAsia="ヒラギノ角ゴ Pro W3" w:cs="Times New Roman"/>
          <w:szCs w:val="24"/>
          <w:lang w:eastAsia="lv-LV"/>
        </w:rPr>
      </w:pPr>
      <w:r w:rsidRPr="009466C9">
        <w:rPr>
          <w:rFonts w:eastAsia="ヒラギノ角ゴ Pro W3" w:cs="Times New Roman"/>
          <w:szCs w:val="24"/>
          <w:lang w:eastAsia="lv-LV"/>
        </w:rPr>
        <w:t xml:space="preserve">                   6.1.2.4. apakšuzņēmēja maiņas rezultātā tiktu izdarīti tādi grozījumi </w:t>
      </w:r>
      <w:r w:rsidRPr="009466C9">
        <w:rPr>
          <w:rFonts w:cs="Times New Roman"/>
          <w:color w:val="000000"/>
          <w:szCs w:val="24"/>
        </w:rPr>
        <w:t>APDROŠINĀTĀJA</w:t>
      </w:r>
      <w:r w:rsidRPr="009466C9">
        <w:rPr>
          <w:rFonts w:eastAsia="ヒラギノ角ゴ Pro W3" w:cs="Times New Roman"/>
          <w:b/>
          <w:szCs w:val="24"/>
          <w:lang w:eastAsia="lv-LV"/>
        </w:rPr>
        <w:t xml:space="preserve"> </w:t>
      </w:r>
      <w:r w:rsidRPr="009466C9">
        <w:rPr>
          <w:rFonts w:eastAsia="ヒラギノ角ゴ Pro W3" w:cs="Times New Roman"/>
          <w:szCs w:val="24"/>
          <w:lang w:eastAsia="lv-LV"/>
        </w:rPr>
        <w:t>Konkursam iesniegtajā piedāvājumā, kuri, ja sākotnēji būtu tajā iekļauti, ietekmētu piedāvājuma izvēli atbilstoši Konkursa nolikumā noteiktajiem piedāvājuma izvērtēšanas kritērijiem.</w:t>
      </w:r>
    </w:p>
    <w:p w:rsidR="009466C9" w:rsidRPr="009466C9" w:rsidRDefault="009466C9" w:rsidP="009466C9">
      <w:pPr>
        <w:autoSpaceDE w:val="0"/>
        <w:autoSpaceDN w:val="0"/>
        <w:adjustRightInd w:val="0"/>
        <w:ind w:left="1134" w:hanging="1134"/>
        <w:jc w:val="both"/>
        <w:rPr>
          <w:rFonts w:cs="Times New Roman"/>
          <w:color w:val="000000"/>
          <w:szCs w:val="24"/>
        </w:rPr>
      </w:pPr>
      <w:r w:rsidRPr="009466C9">
        <w:rPr>
          <w:rFonts w:eastAsia="ヒラギノ角ゴ Pro W3" w:cs="Times New Roman"/>
          <w:szCs w:val="24"/>
          <w:lang w:eastAsia="lv-LV"/>
        </w:rPr>
        <w:t xml:space="preserve">         </w:t>
      </w:r>
      <w:r w:rsidRPr="009466C9">
        <w:rPr>
          <w:rFonts w:cs="Times New Roman"/>
          <w:color w:val="000000"/>
          <w:szCs w:val="24"/>
        </w:rPr>
        <w:t xml:space="preserve"> 6.1.3. APDROŠINĀTĀJS drīkst veikt apakšuzņēmēju nomaiņu, uz kuriem neattiecas Līguma 6.1.2.apakšpunkta noteikumi, tajā skaitā to vēlāku iesaistīšanu Līguma izpildē, ja APDROŠINĀTĀJS par to paziņojis APDROŠINĀŠANAS ŅĒMĒJAM un saņēmis tā  rakstveida piekrišanu apakšuzņēmēju nomaiņai /jauna apakšuzņēmēja  iesaistīšanai Līguma izpildē;</w:t>
      </w:r>
    </w:p>
    <w:p w:rsidR="009466C9" w:rsidRPr="009466C9" w:rsidRDefault="009466C9" w:rsidP="009466C9">
      <w:pPr>
        <w:autoSpaceDE w:val="0"/>
        <w:autoSpaceDN w:val="0"/>
        <w:adjustRightInd w:val="0"/>
        <w:ind w:left="1134" w:hanging="1134"/>
        <w:jc w:val="both"/>
        <w:rPr>
          <w:rFonts w:cs="Times New Roman"/>
          <w:color w:val="000000"/>
          <w:szCs w:val="24"/>
        </w:rPr>
      </w:pPr>
      <w:r w:rsidRPr="009466C9">
        <w:rPr>
          <w:rFonts w:cs="Times New Roman"/>
          <w:color w:val="000000"/>
          <w:szCs w:val="24"/>
        </w:rPr>
        <w:t xml:space="preserve">         6.1.4. APDROŠINĀŠANAS ŅĒMĒJS piekrīt apakšuzņēmēja nomaiņai vai jauna apakšuzņēmēja iesaistīšanai Līguma izpildē, ja uz APDROŠINĀTĀJA piedāvāto apakšuzņēmēju neattiecas PIL </w:t>
      </w:r>
      <w:r w:rsidRPr="009466C9">
        <w:rPr>
          <w:rFonts w:eastAsia="ヒラギノ角ゴ Pro W3" w:cs="Times New Roman"/>
          <w:szCs w:val="24"/>
          <w:lang w:eastAsia="lv-LV"/>
        </w:rPr>
        <w:t>42.panta</w:t>
      </w:r>
      <w:r w:rsidRPr="009466C9">
        <w:rPr>
          <w:rFonts w:cs="Times New Roman"/>
          <w:color w:val="414142"/>
          <w:szCs w:val="24"/>
        </w:rPr>
        <w:t xml:space="preserve"> </w:t>
      </w:r>
      <w:r w:rsidRPr="009466C9">
        <w:rPr>
          <w:rFonts w:cs="Times New Roman"/>
          <w:color w:val="000000"/>
          <w:szCs w:val="24"/>
        </w:rPr>
        <w:t>pirmajā daļā minētie kandidātu un pretendentu izslēgšanas nosacījumi (</w:t>
      </w:r>
      <w:r w:rsidRPr="009466C9">
        <w:rPr>
          <w:rFonts w:cs="Times New Roman"/>
          <w:i/>
          <w:color w:val="000000"/>
          <w:szCs w:val="24"/>
        </w:rPr>
        <w:t xml:space="preserve">APDROŠINĀŠANAS ŅĒMĒJS pārbaudi veiks, ievērojot PIL panta </w:t>
      </w:r>
      <w:r w:rsidRPr="009466C9">
        <w:rPr>
          <w:rFonts w:eastAsia="ヒラギノ角ゴ Pro W3" w:cs="Times New Roman"/>
          <w:i/>
          <w:szCs w:val="24"/>
          <w:lang w:eastAsia="lv-LV"/>
        </w:rPr>
        <w:t>42. panta</w:t>
      </w:r>
      <w:r w:rsidRPr="009466C9">
        <w:rPr>
          <w:rFonts w:cs="Times New Roman"/>
          <w:i/>
          <w:color w:val="414142"/>
          <w:szCs w:val="24"/>
        </w:rPr>
        <w:t xml:space="preserve"> </w:t>
      </w:r>
      <w:r w:rsidRPr="009466C9">
        <w:rPr>
          <w:rFonts w:cs="Times New Roman"/>
          <w:i/>
          <w:color w:val="000000"/>
          <w:szCs w:val="24"/>
        </w:rPr>
        <w:t>noteikumus</w:t>
      </w:r>
      <w:r w:rsidRPr="009466C9">
        <w:rPr>
          <w:rFonts w:cs="Times New Roman"/>
          <w:color w:val="000000"/>
          <w:szCs w:val="24"/>
        </w:rPr>
        <w:t>).</w:t>
      </w:r>
    </w:p>
    <w:p w:rsidR="009466C9" w:rsidRPr="009466C9" w:rsidRDefault="009466C9" w:rsidP="009466C9">
      <w:pPr>
        <w:autoSpaceDE w:val="0"/>
        <w:autoSpaceDN w:val="0"/>
        <w:adjustRightInd w:val="0"/>
        <w:ind w:left="1276" w:hanging="1276"/>
        <w:jc w:val="both"/>
        <w:rPr>
          <w:rFonts w:cs="Times New Roman"/>
          <w:color w:val="000000"/>
          <w:szCs w:val="24"/>
        </w:rPr>
      </w:pPr>
      <w:r w:rsidRPr="009466C9">
        <w:rPr>
          <w:rFonts w:cs="Times New Roman"/>
          <w:color w:val="000000"/>
          <w:szCs w:val="24"/>
        </w:rPr>
        <w:t xml:space="preserve">          6.1.5. APDROŠINĀŠANAS ŅĒMĒJS pieņem lēmumu atļaut/atteikt APDROŠINĀTĀJAM apakšuzņēmēju nomaiņu/ jaunu apakšuzņēmēju iesaistīšanu Līguma izpildē iespējami īsā laikā, bet ne vēlāk kā piecu darbdienu laikā pēc tam, kad saņēmis visu informāciju un dokumentus, kas nepieciešami Līguma 6.1.4.apakšpunktā minētā lēmuma pieņemšanai.</w:t>
      </w:r>
    </w:p>
    <w:p w:rsidR="009466C9" w:rsidRDefault="009466C9" w:rsidP="009466C9">
      <w:pPr>
        <w:autoSpaceDE w:val="0"/>
        <w:autoSpaceDN w:val="0"/>
        <w:adjustRightInd w:val="0"/>
        <w:ind w:left="1276" w:hanging="1276"/>
        <w:jc w:val="both"/>
        <w:rPr>
          <w:rFonts w:cs="Times New Roman"/>
          <w:color w:val="000000"/>
          <w:szCs w:val="24"/>
        </w:rPr>
      </w:pPr>
    </w:p>
    <w:p w:rsidR="003053E6" w:rsidRPr="009466C9" w:rsidRDefault="003053E6" w:rsidP="009466C9">
      <w:pPr>
        <w:autoSpaceDE w:val="0"/>
        <w:autoSpaceDN w:val="0"/>
        <w:adjustRightInd w:val="0"/>
        <w:ind w:left="1276" w:hanging="1276"/>
        <w:jc w:val="both"/>
        <w:rPr>
          <w:rFonts w:cs="Times New Roman"/>
          <w:color w:val="000000"/>
          <w:szCs w:val="24"/>
        </w:rPr>
      </w:pPr>
    </w:p>
    <w:p w:rsidR="009466C9" w:rsidRPr="009466C9" w:rsidRDefault="009466C9" w:rsidP="009466C9">
      <w:pPr>
        <w:widowControl w:val="0"/>
        <w:numPr>
          <w:ilvl w:val="0"/>
          <w:numId w:val="1"/>
        </w:numPr>
        <w:tabs>
          <w:tab w:val="left" w:pos="709"/>
        </w:tabs>
        <w:autoSpaceDE w:val="0"/>
        <w:autoSpaceDN w:val="0"/>
        <w:adjustRightInd w:val="0"/>
        <w:contextualSpacing/>
        <w:jc w:val="center"/>
        <w:rPr>
          <w:rFonts w:eastAsia="Times New Roman" w:cs="Times New Roman"/>
          <w:b/>
          <w:bCs/>
          <w:szCs w:val="24"/>
          <w:lang w:eastAsia="lv-LV"/>
        </w:rPr>
      </w:pPr>
      <w:r w:rsidRPr="009466C9">
        <w:rPr>
          <w:rFonts w:eastAsia="Times New Roman" w:cs="Times New Roman"/>
          <w:b/>
          <w:bCs/>
          <w:szCs w:val="24"/>
          <w:lang w:eastAsia="lv-LV"/>
        </w:rPr>
        <w:t>Pakalpojuma izpilde</w:t>
      </w:r>
    </w:p>
    <w:p w:rsidR="009466C9" w:rsidRPr="009466C9" w:rsidRDefault="009466C9" w:rsidP="009466C9">
      <w:pPr>
        <w:widowControl w:val="0"/>
        <w:tabs>
          <w:tab w:val="left" w:pos="709"/>
        </w:tabs>
        <w:autoSpaceDE w:val="0"/>
        <w:autoSpaceDN w:val="0"/>
        <w:adjustRightInd w:val="0"/>
        <w:contextualSpacing/>
        <w:jc w:val="center"/>
        <w:rPr>
          <w:rFonts w:eastAsia="Times New Roman" w:cs="Times New Roman"/>
          <w:b/>
          <w:bCs/>
          <w:szCs w:val="24"/>
          <w:lang w:eastAsia="lv-LV"/>
        </w:rPr>
      </w:pPr>
    </w:p>
    <w:p w:rsidR="009466C9" w:rsidRPr="009466C9" w:rsidRDefault="009466C9" w:rsidP="009466C9">
      <w:pPr>
        <w:widowControl w:val="0"/>
        <w:numPr>
          <w:ilvl w:val="1"/>
          <w:numId w:val="1"/>
        </w:numPr>
        <w:ind w:left="680" w:hanging="680"/>
        <w:jc w:val="both"/>
        <w:rPr>
          <w:rFonts w:eastAsia="Times New Roman" w:cs="Times New Roman"/>
          <w:szCs w:val="24"/>
          <w:lang w:eastAsia="lv-LV"/>
        </w:rPr>
      </w:pPr>
      <w:r w:rsidRPr="009466C9">
        <w:rPr>
          <w:rFonts w:eastAsia="Times New Roman" w:cs="Times New Roman"/>
          <w:szCs w:val="24"/>
          <w:lang w:eastAsia="lv-LV"/>
        </w:rPr>
        <w:t xml:space="preserve">APDROŠINĀTĀJS sniedz Pakalpojumu Līguma spēkā esamības laikā  (Līguma 4.2. </w:t>
      </w:r>
      <w:r w:rsidRPr="009466C9">
        <w:rPr>
          <w:rFonts w:eastAsia="Times New Roman" w:cs="Times New Roman"/>
          <w:szCs w:val="24"/>
          <w:lang w:eastAsia="lv-LV"/>
        </w:rPr>
        <w:lastRenderedPageBreak/>
        <w:t>apakšpunkts).</w:t>
      </w:r>
    </w:p>
    <w:p w:rsidR="009466C9" w:rsidRPr="009466C9" w:rsidRDefault="009466C9" w:rsidP="009466C9">
      <w:pPr>
        <w:widowControl w:val="0"/>
        <w:numPr>
          <w:ilvl w:val="1"/>
          <w:numId w:val="1"/>
        </w:numPr>
        <w:ind w:left="680" w:hanging="680"/>
        <w:jc w:val="both"/>
        <w:rPr>
          <w:rFonts w:eastAsia="Times New Roman" w:cs="Times New Roman"/>
          <w:szCs w:val="24"/>
          <w:lang w:eastAsia="lv-LV"/>
        </w:rPr>
      </w:pPr>
      <w:r w:rsidRPr="009466C9">
        <w:rPr>
          <w:rFonts w:eastAsia="Times New Roman" w:cs="Times New Roman"/>
          <w:szCs w:val="24"/>
          <w:lang w:eastAsia="lv-LV"/>
        </w:rPr>
        <w:t xml:space="preserve">APDROŠINĀTĀJS Pakalpojumu </w:t>
      </w:r>
      <w:r w:rsidRPr="009466C9">
        <w:rPr>
          <w:rFonts w:eastAsia="Times New Roman" w:cs="Times New Roman"/>
          <w:bCs/>
          <w:szCs w:val="24"/>
          <w:lang w:eastAsia="lv-LV"/>
        </w:rPr>
        <w:t xml:space="preserve">APDROŠINĀJUMA ŅĒMĒJAM </w:t>
      </w:r>
      <w:r w:rsidRPr="009466C9">
        <w:rPr>
          <w:rFonts w:eastAsia="Times New Roman" w:cs="Times New Roman"/>
          <w:szCs w:val="24"/>
          <w:lang w:eastAsia="lv-LV"/>
        </w:rPr>
        <w:t>nodrošina ar saviem resursiem.</w:t>
      </w:r>
    </w:p>
    <w:p w:rsidR="009466C9" w:rsidRPr="009466C9" w:rsidRDefault="009466C9" w:rsidP="009466C9">
      <w:pPr>
        <w:widowControl w:val="0"/>
        <w:numPr>
          <w:ilvl w:val="1"/>
          <w:numId w:val="1"/>
        </w:numPr>
        <w:ind w:left="680" w:hanging="680"/>
        <w:jc w:val="both"/>
        <w:rPr>
          <w:rFonts w:eastAsia="Times New Roman" w:cs="Times New Roman"/>
          <w:szCs w:val="24"/>
          <w:lang w:eastAsia="lv-LV"/>
        </w:rPr>
      </w:pPr>
      <w:r w:rsidRPr="009466C9">
        <w:rPr>
          <w:rFonts w:eastAsia="Times New Roman" w:cs="Times New Roman"/>
          <w:szCs w:val="24"/>
          <w:lang w:eastAsia="lv-LV"/>
        </w:rPr>
        <w:t>APDROŠINĀTĀJS maksā apdrošināšanas atlīdzību saskaņā ar Latvijas Republikas likumu “Par apdrošināšanas līgumu”, Līgumā noteikto apmēru, kārtību un termiņiem.</w:t>
      </w:r>
    </w:p>
    <w:p w:rsidR="009466C9" w:rsidRPr="009466C9" w:rsidRDefault="009466C9" w:rsidP="009466C9">
      <w:pPr>
        <w:widowControl w:val="0"/>
        <w:numPr>
          <w:ilvl w:val="1"/>
          <w:numId w:val="1"/>
        </w:numPr>
        <w:ind w:left="680" w:hanging="680"/>
        <w:jc w:val="both"/>
        <w:rPr>
          <w:rFonts w:eastAsia="Times New Roman" w:cs="Times New Roman"/>
          <w:szCs w:val="24"/>
          <w:lang w:eastAsia="lv-LV"/>
        </w:rPr>
      </w:pPr>
      <w:r w:rsidRPr="009466C9">
        <w:rPr>
          <w:rFonts w:eastAsia="Times New Roman" w:cs="Times New Roman"/>
          <w:szCs w:val="24"/>
          <w:lang w:eastAsia="lv-LV"/>
        </w:rPr>
        <w:t xml:space="preserve">APDROŠINĀTĀJS atlīdzina veiktos maksājumus par Pakalpojumiem, kas </w:t>
      </w:r>
      <w:r w:rsidRPr="009466C9">
        <w:rPr>
          <w:rFonts w:eastAsia="Times New Roman" w:cs="Times New Roman"/>
          <w:bCs/>
          <w:szCs w:val="24"/>
          <w:lang w:eastAsia="lv-LV"/>
        </w:rPr>
        <w:t>Apdrošinātajām personām</w:t>
      </w:r>
      <w:r w:rsidRPr="009466C9">
        <w:rPr>
          <w:rFonts w:eastAsia="Times New Roman" w:cs="Times New Roman"/>
          <w:szCs w:val="24"/>
          <w:lang w:eastAsia="lv-LV"/>
        </w:rPr>
        <w:t xml:space="preserve"> sniegti ārpus Līgumiestādēm saskaņā ar Līguma 1.pielikumā noteikto kārtību. APDROŠINĀTĀJS </w:t>
      </w:r>
      <w:r w:rsidRPr="009466C9">
        <w:rPr>
          <w:rFonts w:eastAsia="Calibri" w:cs="Times New Roman"/>
          <w:bCs/>
          <w:szCs w:val="24"/>
          <w:lang w:eastAsia="lv-LV"/>
        </w:rPr>
        <w:t>ne vēlāk kā 7 (</w:t>
      </w:r>
      <w:r w:rsidRPr="009466C9">
        <w:rPr>
          <w:rFonts w:eastAsia="Calibri" w:cs="Times New Roman"/>
          <w:bCs/>
          <w:i/>
          <w:szCs w:val="24"/>
          <w:lang w:eastAsia="lv-LV"/>
        </w:rPr>
        <w:t>septiņu</w:t>
      </w:r>
      <w:r w:rsidRPr="009466C9">
        <w:rPr>
          <w:rFonts w:eastAsia="Calibri" w:cs="Times New Roman"/>
          <w:bCs/>
          <w:szCs w:val="24"/>
          <w:lang w:eastAsia="lv-LV"/>
        </w:rPr>
        <w:t>) darbdienu laikā no visu dokumentu saņemšanas brīža vai ne vēlāk kā 5 (</w:t>
      </w:r>
      <w:r w:rsidRPr="009466C9">
        <w:rPr>
          <w:rFonts w:eastAsia="Calibri" w:cs="Times New Roman"/>
          <w:bCs/>
          <w:i/>
          <w:szCs w:val="24"/>
          <w:lang w:eastAsia="lv-LV"/>
        </w:rPr>
        <w:t>piecu</w:t>
      </w:r>
      <w:r w:rsidRPr="009466C9">
        <w:rPr>
          <w:rFonts w:eastAsia="Calibri" w:cs="Times New Roman"/>
          <w:bCs/>
          <w:szCs w:val="24"/>
          <w:lang w:eastAsia="lv-LV"/>
        </w:rPr>
        <w:t>) darbdienu laikā, ja Apdrošināšanas atlīdzība pieteikta elektroniski,</w:t>
      </w:r>
      <w:r w:rsidRPr="009466C9">
        <w:rPr>
          <w:rFonts w:eastAsia="Times New Roman" w:cs="Times New Roman"/>
          <w:szCs w:val="24"/>
          <w:lang w:eastAsia="lv-LV"/>
        </w:rPr>
        <w:t xml:space="preserve"> pārskaita atlīdzību saskaņā ar Līguma 1.pielikumā noteikto apjomu uz </w:t>
      </w:r>
      <w:r w:rsidRPr="009466C9">
        <w:rPr>
          <w:rFonts w:eastAsia="Times New Roman" w:cs="Times New Roman"/>
          <w:bCs/>
          <w:szCs w:val="24"/>
          <w:lang w:eastAsia="lv-LV"/>
        </w:rPr>
        <w:t>Apdrošinātās personas</w:t>
      </w:r>
      <w:r w:rsidRPr="009466C9">
        <w:rPr>
          <w:rFonts w:eastAsia="Times New Roman" w:cs="Times New Roman"/>
          <w:szCs w:val="24"/>
          <w:lang w:eastAsia="lv-LV"/>
        </w:rPr>
        <w:t xml:space="preserve"> norādīto bankas kontu.</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APDROŠINĀJUMA ŅĒMĒJS</w:t>
      </w:r>
      <w:r w:rsidRPr="009466C9">
        <w:rPr>
          <w:rFonts w:eastAsia="Times New Roman" w:cs="Times New Roman"/>
          <w:szCs w:val="24"/>
          <w:lang w:eastAsia="lv-LV"/>
        </w:rPr>
        <w:t xml:space="preserve"> informē APDROŠINĀTĀJU par nepieciešamajām izmaiņām </w:t>
      </w:r>
      <w:r w:rsidRPr="009466C9">
        <w:rPr>
          <w:rFonts w:eastAsia="Times New Roman" w:cs="Times New Roman"/>
          <w:bCs/>
          <w:szCs w:val="24"/>
          <w:lang w:eastAsia="lv-LV"/>
        </w:rPr>
        <w:t>Apdrošināto sarakstā</w:t>
      </w:r>
      <w:r w:rsidRPr="009466C9">
        <w:rPr>
          <w:rFonts w:eastAsia="Times New Roman" w:cs="Times New Roman"/>
          <w:szCs w:val="24"/>
          <w:lang w:eastAsia="lv-LV"/>
        </w:rPr>
        <w:t>, iesniedzot rakstisku pieteikumu.</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szCs w:val="24"/>
          <w:lang w:eastAsia="lv-LV"/>
        </w:rPr>
        <w:t>APDROŠINĀTĀJS par iespējamiem vai paredzamiem kavējumiem Līguma izpildē, apstākļiem, notikumiem, kas ietekmē Līguma precīzu un pilnīgu izpildi /tā izpildi noteiktajā laikā, informē APDROŠINĀJUMA ŅĒMĒJU laikus, bet ne vēlāk kā 1 (</w:t>
      </w:r>
      <w:r w:rsidRPr="009466C9">
        <w:rPr>
          <w:rFonts w:eastAsia="Times New Roman" w:cs="Times New Roman"/>
          <w:i/>
          <w:szCs w:val="24"/>
          <w:lang w:eastAsia="lv-LV"/>
        </w:rPr>
        <w:t>vienas</w:t>
      </w:r>
      <w:r w:rsidRPr="009466C9">
        <w:rPr>
          <w:rFonts w:eastAsia="Times New Roman" w:cs="Times New Roman"/>
          <w:szCs w:val="24"/>
          <w:lang w:eastAsia="lv-LV"/>
        </w:rPr>
        <w:t>) darbdienas laikā, skaitot no brīža, kad APDROŠINĀTĀJAM tie ir kļuvuši zināmi.</w:t>
      </w:r>
    </w:p>
    <w:p w:rsidR="009466C9" w:rsidRPr="009466C9" w:rsidRDefault="009466C9" w:rsidP="009466C9">
      <w:pPr>
        <w:widowControl w:val="0"/>
        <w:numPr>
          <w:ilvl w:val="1"/>
          <w:numId w:val="1"/>
        </w:numPr>
        <w:ind w:left="709" w:hanging="709"/>
        <w:contextualSpacing/>
        <w:jc w:val="both"/>
        <w:rPr>
          <w:rFonts w:eastAsia="Times New Roman" w:cs="Times New Roman"/>
          <w:bCs/>
          <w:szCs w:val="24"/>
          <w:lang w:eastAsia="lv-LV"/>
        </w:rPr>
      </w:pPr>
      <w:r w:rsidRPr="009466C9">
        <w:rPr>
          <w:rFonts w:eastAsia="Times New Roman" w:cs="Times New Roman"/>
          <w:szCs w:val="24"/>
          <w:lang w:eastAsia="lv-LV"/>
        </w:rPr>
        <w:t>Puses vienojas, ka APDROŠINĀJUMA ŅEMĒJAM:</w:t>
      </w:r>
    </w:p>
    <w:p w:rsidR="009466C9" w:rsidRPr="009466C9" w:rsidRDefault="009466C9" w:rsidP="009466C9">
      <w:pPr>
        <w:widowControl w:val="0"/>
        <w:numPr>
          <w:ilvl w:val="2"/>
          <w:numId w:val="1"/>
        </w:numPr>
        <w:ind w:left="1276" w:hanging="567"/>
        <w:contextualSpacing/>
        <w:jc w:val="both"/>
        <w:rPr>
          <w:rFonts w:eastAsia="Times New Roman" w:cs="Times New Roman"/>
          <w:bCs/>
          <w:szCs w:val="24"/>
          <w:lang w:eastAsia="lv-LV"/>
        </w:rPr>
      </w:pPr>
      <w:r w:rsidRPr="009466C9">
        <w:rPr>
          <w:rFonts w:eastAsia="Times New Roman" w:cs="Times New Roman"/>
          <w:szCs w:val="24"/>
          <w:lang w:eastAsia="lv-LV"/>
        </w:rPr>
        <w:t>ir tiesības APDROŠINĀTĀJAM dot saistošus norādījumus par Līguma izpildi;</w:t>
      </w:r>
    </w:p>
    <w:p w:rsidR="009466C9" w:rsidRPr="009466C9" w:rsidRDefault="009466C9" w:rsidP="009466C9">
      <w:pPr>
        <w:widowControl w:val="0"/>
        <w:numPr>
          <w:ilvl w:val="2"/>
          <w:numId w:val="1"/>
        </w:numPr>
        <w:ind w:left="1418" w:hanging="698"/>
        <w:contextualSpacing/>
        <w:jc w:val="both"/>
        <w:rPr>
          <w:rFonts w:eastAsia="Times New Roman" w:cs="Times New Roman"/>
          <w:bCs/>
          <w:szCs w:val="24"/>
          <w:lang w:eastAsia="lv-LV"/>
        </w:rPr>
      </w:pPr>
      <w:r w:rsidRPr="009466C9">
        <w:rPr>
          <w:rFonts w:eastAsia="Times New Roman" w:cs="Times New Roman"/>
          <w:bCs/>
          <w:szCs w:val="24"/>
          <w:lang w:eastAsia="lv-LV"/>
        </w:rPr>
        <w:t>saņemt no APDROŠINĀTĀJA informāciju un paskaidrojumus par Līguma izpildes gaitu un citiem Līguma izpildes jautājumiem.</w:t>
      </w:r>
    </w:p>
    <w:p w:rsidR="009466C9" w:rsidRDefault="009466C9" w:rsidP="009466C9">
      <w:pPr>
        <w:widowControl w:val="0"/>
        <w:jc w:val="both"/>
        <w:rPr>
          <w:rFonts w:eastAsia="Times New Roman" w:cs="Times New Roman"/>
          <w:bCs/>
          <w:szCs w:val="24"/>
          <w:lang w:eastAsia="lv-LV"/>
        </w:rPr>
      </w:pPr>
    </w:p>
    <w:p w:rsidR="003053E6" w:rsidRPr="009466C9" w:rsidRDefault="003053E6" w:rsidP="009466C9">
      <w:pPr>
        <w:widowControl w:val="0"/>
        <w:jc w:val="both"/>
        <w:rPr>
          <w:rFonts w:eastAsia="Times New Roman" w:cs="Times New Roman"/>
          <w:bCs/>
          <w:szCs w:val="24"/>
          <w:lang w:eastAsia="lv-LV"/>
        </w:rPr>
      </w:pPr>
    </w:p>
    <w:p w:rsidR="009466C9" w:rsidRPr="009466C9" w:rsidRDefault="009466C9" w:rsidP="009466C9">
      <w:pPr>
        <w:numPr>
          <w:ilvl w:val="0"/>
          <w:numId w:val="1"/>
        </w:numPr>
        <w:spacing w:after="120"/>
        <w:jc w:val="center"/>
        <w:rPr>
          <w:rFonts w:eastAsia="Times New Roman" w:cs="Times New Roman"/>
          <w:b/>
          <w:bCs/>
          <w:szCs w:val="24"/>
          <w:lang w:eastAsia="lv-LV"/>
        </w:rPr>
      </w:pPr>
      <w:r w:rsidRPr="009466C9">
        <w:rPr>
          <w:rFonts w:eastAsia="Times New Roman" w:cs="Times New Roman"/>
          <w:b/>
          <w:bCs/>
          <w:szCs w:val="24"/>
          <w:lang w:eastAsia="lv-LV"/>
        </w:rPr>
        <w:t>Norēķinu kārtība</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 xml:space="preserve">APDROŠINĀJUMA ŅĒMĒJS pēc Līguma noslēgšanas 30 dienu laikā vienā maksājumā samaksā apdrošināšanas prēmiju (turpmāk − Apdrošināšanas prēmija) </w:t>
      </w:r>
      <w:r w:rsidR="0049376A" w:rsidRPr="003053E6">
        <w:rPr>
          <w:rFonts w:eastAsia="Times New Roman" w:cs="Times New Roman"/>
          <w:bCs/>
          <w:szCs w:val="24"/>
          <w:lang w:eastAsia="lv-LV"/>
        </w:rPr>
        <w:t xml:space="preserve">68 297.60 </w:t>
      </w:r>
      <w:r w:rsidRPr="003053E6">
        <w:rPr>
          <w:rFonts w:eastAsia="Times New Roman" w:cs="Times New Roman"/>
          <w:bCs/>
          <w:szCs w:val="24"/>
          <w:lang w:eastAsia="lv-LV"/>
        </w:rPr>
        <w:t xml:space="preserve">EUR </w:t>
      </w:r>
      <w:r w:rsidRPr="005E3B5E">
        <w:rPr>
          <w:rFonts w:eastAsia="Times New Roman" w:cs="Times New Roman"/>
          <w:bCs/>
          <w:szCs w:val="24"/>
          <w:lang w:eastAsia="lv-LV"/>
        </w:rPr>
        <w:t>(</w:t>
      </w:r>
      <w:r w:rsidR="0049376A" w:rsidRPr="005E3B5E">
        <w:rPr>
          <w:rFonts w:eastAsia="Times New Roman" w:cs="Times New Roman"/>
          <w:bCs/>
          <w:i/>
          <w:szCs w:val="24"/>
          <w:lang w:eastAsia="lv-LV"/>
        </w:rPr>
        <w:t xml:space="preserve">sešdesmit astoņi tūkstoši divi simti deviņdesmit septiņi euro, 60 centi) </w:t>
      </w:r>
      <w:r w:rsidRPr="005E3B5E">
        <w:rPr>
          <w:rFonts w:eastAsia="Times New Roman" w:cs="Times New Roman"/>
          <w:bCs/>
          <w:szCs w:val="24"/>
          <w:lang w:eastAsia="lv-LV"/>
        </w:rPr>
        <w:t>apmērā</w:t>
      </w:r>
      <w:r w:rsidRPr="009466C9">
        <w:rPr>
          <w:rFonts w:eastAsia="Times New Roman" w:cs="Times New Roman"/>
          <w:bCs/>
          <w:szCs w:val="24"/>
          <w:lang w:eastAsia="lv-LV"/>
        </w:rPr>
        <w:t xml:space="preserve"> par vienu Apdrošināšanas gadu. Apdrošināšanas prēmiju veido Apdrošināmo personu skaits Apdrošināto sarakstā  reizināts ar apdrošināšanas prēmiju vienai Apdrošināmai personai.</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Maksājumus par papildus Apdrošināmām personām (saskaņā ar APDROŠINĀJUMA ŅĒMĒJA iesniegto paziņojumu par izmaiņām Apdrošināto sarakstā) APDROŠINĀJUMA ŅĒMĒJS maksā 10 (</w:t>
      </w:r>
      <w:r w:rsidRPr="009466C9">
        <w:rPr>
          <w:rFonts w:eastAsia="Times New Roman" w:cs="Times New Roman"/>
          <w:bCs/>
          <w:i/>
          <w:szCs w:val="24"/>
          <w:lang w:eastAsia="lv-LV"/>
        </w:rPr>
        <w:t>desmit</w:t>
      </w:r>
      <w:r w:rsidRPr="009466C9">
        <w:rPr>
          <w:rFonts w:eastAsia="Times New Roman" w:cs="Times New Roman"/>
          <w:bCs/>
          <w:szCs w:val="24"/>
          <w:lang w:eastAsia="lv-LV"/>
        </w:rPr>
        <w:t>) darbdienu laikā no attiecīga rēķina saņemšanas dienas.</w:t>
      </w:r>
    </w:p>
    <w:p w:rsidR="009466C9" w:rsidRPr="009466C9" w:rsidRDefault="009466C9" w:rsidP="009466C9">
      <w:pPr>
        <w:widowControl w:val="0"/>
        <w:numPr>
          <w:ilvl w:val="1"/>
          <w:numId w:val="1"/>
        </w:numPr>
        <w:ind w:left="709" w:hanging="709"/>
        <w:jc w:val="both"/>
        <w:rPr>
          <w:rFonts w:eastAsia="Times New Roman" w:cs="Times New Roman"/>
          <w:bCs/>
          <w:szCs w:val="24"/>
          <w:lang w:eastAsia="lv-LV"/>
        </w:rPr>
      </w:pPr>
      <w:r w:rsidRPr="009466C9">
        <w:rPr>
          <w:rFonts w:eastAsia="Times New Roman" w:cs="Times New Roman"/>
          <w:bCs/>
          <w:szCs w:val="24"/>
          <w:lang w:eastAsia="lv-LV"/>
        </w:rPr>
        <w:t xml:space="preserve">Apdrošināšanas prēmiju par Pakalpojumu saskaņā ar </w:t>
      </w:r>
      <w:r w:rsidRPr="009466C9">
        <w:rPr>
          <w:rFonts w:eastAsia="Times New Roman" w:cs="Times New Roman"/>
          <w:szCs w:val="24"/>
          <w:lang w:eastAsia="lv-LV"/>
        </w:rPr>
        <w:t xml:space="preserve">APDROŠINĀTĀJA piedāvātajām veselības apdrošināšanas papildprogrammām un/vai ģimenes locekļu apdrošināšanu </w:t>
      </w:r>
      <w:r w:rsidRPr="009466C9">
        <w:rPr>
          <w:rFonts w:eastAsia="Times New Roman" w:cs="Times New Roman"/>
          <w:bCs/>
          <w:szCs w:val="24"/>
          <w:lang w:eastAsia="lv-LV"/>
        </w:rPr>
        <w:t xml:space="preserve">APDROŠINĀJUMA ŅĒMĒJA darbinieka ģimenes loceklis maksā </w:t>
      </w:r>
      <w:r w:rsidRPr="009466C9">
        <w:rPr>
          <w:rFonts w:eastAsia="Times New Roman" w:cs="Times New Roman"/>
          <w:szCs w:val="24"/>
          <w:lang w:eastAsia="lv-LV"/>
        </w:rPr>
        <w:t>APDROŠINĀTĀJAM no personiskajiem līdzekļiem.</w:t>
      </w:r>
    </w:p>
    <w:p w:rsidR="009466C9" w:rsidRPr="009466C9" w:rsidRDefault="009466C9" w:rsidP="009466C9">
      <w:pPr>
        <w:widowControl w:val="0"/>
        <w:numPr>
          <w:ilvl w:val="1"/>
          <w:numId w:val="1"/>
        </w:numPr>
        <w:ind w:left="709" w:hanging="709"/>
        <w:jc w:val="both"/>
        <w:rPr>
          <w:rFonts w:eastAsia="Times New Roman" w:cs="Times New Roman"/>
          <w:bCs/>
          <w:szCs w:val="24"/>
          <w:lang w:eastAsia="lv-LV"/>
        </w:rPr>
      </w:pPr>
      <w:r w:rsidRPr="009466C9">
        <w:rPr>
          <w:rFonts w:eastAsia="Times New Roman" w:cs="Times New Roman"/>
          <w:bCs/>
          <w:szCs w:val="24"/>
          <w:lang w:eastAsia="lv-LV"/>
        </w:rPr>
        <w:t>APDROŠINĀJUMA ŅĒMĒJA jaunās Apdrošināmās personas tiek apdrošinātas uz atlikušo Līguma spēkā esamības laiku, Apdrošināšanas prēmiju aprēķinot proporcionāli atlikušajam Līguma spēkā esamības laikam par pilniem kalendāriem mēnešiem.</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 xml:space="preserve"> Maksājumus par šā Līguma 8.4. apakšpunktā minētām Apdrošināmām personām veic (saskaņā ar APDROŠINĀJUMA ŅĒMĒJA iesniegto paziņojumu par izmaiņām Apdrošināto sarakstā) 10 (</w:t>
      </w:r>
      <w:r w:rsidRPr="009466C9">
        <w:rPr>
          <w:rFonts w:eastAsia="Times New Roman" w:cs="Times New Roman"/>
          <w:bCs/>
          <w:i/>
          <w:szCs w:val="24"/>
          <w:lang w:eastAsia="lv-LV"/>
        </w:rPr>
        <w:t>desmit</w:t>
      </w:r>
      <w:r w:rsidRPr="009466C9">
        <w:rPr>
          <w:rFonts w:eastAsia="Times New Roman" w:cs="Times New Roman"/>
          <w:bCs/>
          <w:szCs w:val="24"/>
          <w:lang w:eastAsia="lv-LV"/>
        </w:rPr>
        <w:t>) darbdienu laikā no attiecīga rēķina saņemšanas dienas.</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 xml:space="preserve">Gadījumā, ja ārstniecības iestāde, kura ir </w:t>
      </w:r>
      <w:r w:rsidRPr="009466C9">
        <w:rPr>
          <w:rFonts w:eastAsia="Times New Roman" w:cs="Times New Roman"/>
          <w:szCs w:val="24"/>
          <w:lang w:eastAsia="lv-LV"/>
        </w:rPr>
        <w:t xml:space="preserve">APDROŠINĀTĀJA Līgumiestāde, atsakās pieņemt </w:t>
      </w:r>
      <w:r w:rsidRPr="009466C9">
        <w:rPr>
          <w:rFonts w:eastAsia="Times New Roman" w:cs="Times New Roman"/>
          <w:bCs/>
          <w:szCs w:val="24"/>
          <w:lang w:eastAsia="lv-LV"/>
        </w:rPr>
        <w:t xml:space="preserve">Apdrošinātās personas Karti, un Apdrošinātā persona saņēmusi Pakalpojumu, par kuru apdrošināšanas atlīdzības izmaksu paredz Polises noteikumi un pakalpojuma programma, Apdrošinātā persona ir tiesīga prasīt un </w:t>
      </w:r>
      <w:r w:rsidRPr="009466C9">
        <w:rPr>
          <w:rFonts w:eastAsia="Times New Roman" w:cs="Times New Roman"/>
          <w:szCs w:val="24"/>
          <w:lang w:eastAsia="lv-LV"/>
        </w:rPr>
        <w:t xml:space="preserve">APDROŠINĀTĀJS apņemas samaksāt </w:t>
      </w:r>
      <w:r w:rsidRPr="009466C9">
        <w:rPr>
          <w:rFonts w:eastAsia="Times New Roman" w:cs="Times New Roman"/>
          <w:bCs/>
          <w:szCs w:val="24"/>
          <w:lang w:eastAsia="lv-LV"/>
        </w:rPr>
        <w:t xml:space="preserve">Apdrošinātai personai </w:t>
      </w:r>
      <w:r w:rsidRPr="009466C9">
        <w:rPr>
          <w:rFonts w:eastAsia="Times New Roman" w:cs="Times New Roman"/>
          <w:szCs w:val="24"/>
          <w:lang w:eastAsia="lv-LV"/>
        </w:rPr>
        <w:t>radušos zaudējumus, ja atteikums sniegt pakalpojumu Polises noteikumu ietvaros ir bijis nepamatots.</w:t>
      </w:r>
    </w:p>
    <w:p w:rsidR="009466C9" w:rsidRPr="009466C9" w:rsidRDefault="009466C9" w:rsidP="009466C9">
      <w:pPr>
        <w:tabs>
          <w:tab w:val="left" w:pos="567"/>
        </w:tabs>
        <w:ind w:right="43"/>
        <w:jc w:val="both"/>
        <w:rPr>
          <w:rFonts w:eastAsia="Times New Roman" w:cs="Times New Roman"/>
          <w:szCs w:val="24"/>
          <w:lang w:eastAsia="lv-LV"/>
        </w:rPr>
      </w:pPr>
      <w:r w:rsidRPr="009466C9">
        <w:rPr>
          <w:rFonts w:eastAsia="Times New Roman" w:cs="Times New Roman"/>
          <w:szCs w:val="24"/>
          <w:lang w:eastAsia="lv-LV"/>
        </w:rPr>
        <w:t>8.7.     Kopējās līgumcenas apmaksa tiek:</w:t>
      </w:r>
    </w:p>
    <w:p w:rsidR="009466C9" w:rsidRDefault="009466C9" w:rsidP="009466C9">
      <w:pPr>
        <w:tabs>
          <w:tab w:val="left" w:pos="284"/>
          <w:tab w:val="left" w:pos="709"/>
        </w:tabs>
        <w:ind w:left="1276" w:right="43" w:hanging="709"/>
        <w:contextualSpacing/>
        <w:jc w:val="both"/>
        <w:rPr>
          <w:rFonts w:eastAsia="Times New Roman" w:cs="Times New Roman"/>
          <w:szCs w:val="24"/>
          <w:lang w:eastAsia="lv-LV"/>
        </w:rPr>
      </w:pPr>
      <w:r w:rsidRPr="009466C9">
        <w:rPr>
          <w:rFonts w:eastAsia="Times New Roman" w:cs="Times New Roman"/>
          <w:szCs w:val="24"/>
          <w:lang w:eastAsia="lv-LV"/>
        </w:rPr>
        <w:t xml:space="preserve"> 8.7.1. līdzfinansēta no Eiropas Savienības Struktūrfondu un Kohēzijas fonda </w:t>
      </w:r>
      <w:r w:rsidR="00D72FB9" w:rsidRPr="00A05184">
        <w:rPr>
          <w:color w:val="000000"/>
          <w:lang w:eastAsia="lv-LV"/>
        </w:rPr>
        <w:t xml:space="preserve">2014.-2020.gada plānošanas perioda tehniskās palīdzības projektu Nr. 10.1.2.0/15/TP/001 “Eiropas Sociālā fonda atbalsts Kohēzijas politikas fondu ieviešanai un vadībai Centrālajā finanšu un līgumu aģentūrā”, Nr. 11.1.1.0/15/TP/004 “Eiropas Reģionālās attīstības fonda atbalsts Kohēzijas </w:t>
      </w:r>
      <w:r w:rsidR="00D72FB9" w:rsidRPr="00A05184">
        <w:rPr>
          <w:color w:val="000000"/>
          <w:lang w:eastAsia="lv-LV"/>
        </w:rPr>
        <w:lastRenderedPageBreak/>
        <w:t>politikas fondu ieviešanai un vadībai Centrālajā finanšu un līgumu aģentūrā” un Nr. 12.1.1.0/15/TP/004 “Kohēzijas fonda atbalsts Kohēzijas politikas fondu ieviešanai un vadībai Centrālajā finanšu un līgumu aģentūrā”</w:t>
      </w:r>
      <w:r w:rsidRPr="009466C9">
        <w:rPr>
          <w:rFonts w:eastAsia="Times New Roman" w:cs="Times New Roman"/>
          <w:szCs w:val="24"/>
          <w:lang w:eastAsia="lv-LV"/>
        </w:rPr>
        <w:t xml:space="preserve"> finanšu līdzekļiem (turpmāk </w:t>
      </w:r>
      <w:r w:rsidRPr="009466C9">
        <w:rPr>
          <w:rFonts w:eastAsia="Times New Roman" w:cs="Times New Roman"/>
          <w:bCs/>
          <w:szCs w:val="24"/>
          <w:lang w:eastAsia="lv-LV"/>
        </w:rPr>
        <w:t>−</w:t>
      </w:r>
      <w:r w:rsidRPr="009466C9">
        <w:rPr>
          <w:rFonts w:eastAsia="Times New Roman" w:cs="Times New Roman"/>
          <w:szCs w:val="24"/>
          <w:lang w:eastAsia="lv-LV"/>
        </w:rPr>
        <w:t xml:space="preserve"> Projekti);</w:t>
      </w:r>
    </w:p>
    <w:p w:rsidR="00D72FB9" w:rsidRPr="009466C9" w:rsidRDefault="00D72FB9" w:rsidP="009466C9">
      <w:pPr>
        <w:tabs>
          <w:tab w:val="left" w:pos="284"/>
          <w:tab w:val="left" w:pos="709"/>
        </w:tabs>
        <w:ind w:left="1276" w:right="43" w:hanging="709"/>
        <w:contextualSpacing/>
        <w:jc w:val="both"/>
        <w:rPr>
          <w:rFonts w:eastAsia="Times New Roman" w:cs="Times New Roman"/>
          <w:szCs w:val="24"/>
          <w:lang w:eastAsia="lv-LV"/>
        </w:rPr>
      </w:pPr>
    </w:p>
    <w:p w:rsidR="009466C9" w:rsidRPr="009466C9" w:rsidRDefault="009466C9" w:rsidP="009466C9">
      <w:pPr>
        <w:tabs>
          <w:tab w:val="left" w:pos="284"/>
          <w:tab w:val="left" w:pos="709"/>
          <w:tab w:val="left" w:pos="1276"/>
        </w:tabs>
        <w:ind w:left="1276" w:right="43" w:hanging="2127"/>
        <w:jc w:val="both"/>
        <w:rPr>
          <w:rFonts w:eastAsia="Times New Roman" w:cs="Times New Roman"/>
          <w:szCs w:val="24"/>
          <w:lang w:eastAsia="lv-LV"/>
        </w:rPr>
      </w:pPr>
      <w:r w:rsidRPr="009466C9">
        <w:rPr>
          <w:rFonts w:eastAsia="Times New Roman" w:cs="Times New Roman"/>
          <w:szCs w:val="24"/>
          <w:lang w:eastAsia="lv-LV"/>
        </w:rPr>
        <w:t xml:space="preserve">                        8.7.2. finansēta no </w:t>
      </w:r>
      <w:r w:rsidR="00D72FB9" w:rsidRPr="00D72FB9">
        <w:rPr>
          <w:rFonts w:eastAsia="Times New Roman" w:cs="Times New Roman"/>
          <w:szCs w:val="24"/>
          <w:lang w:eastAsia="lv-LV"/>
        </w:rPr>
        <w:t>APDROŠINĀJUMA ŅĒMĒJA</w:t>
      </w:r>
      <w:r w:rsidR="00D72FB9">
        <w:rPr>
          <w:rFonts w:eastAsia="Times New Roman" w:cs="Times New Roman"/>
          <w:szCs w:val="24"/>
          <w:lang w:eastAsia="lv-LV"/>
        </w:rPr>
        <w:t xml:space="preserve"> </w:t>
      </w:r>
      <w:r w:rsidR="00D72FB9" w:rsidRPr="00A05184">
        <w:rPr>
          <w:color w:val="000000"/>
          <w:lang w:eastAsia="lv-LV"/>
        </w:rPr>
        <w:t xml:space="preserve">pieejamajiem līdzekļiem </w:t>
      </w:r>
      <w:r w:rsidR="00D72FB9" w:rsidRPr="00D72FB9">
        <w:rPr>
          <w:color w:val="000000"/>
          <w:lang w:eastAsia="lv-LV"/>
        </w:rPr>
        <w:t xml:space="preserve">APDROŠINĀJUMA ŅĒMĒJA </w:t>
      </w:r>
      <w:r w:rsidR="00D72FB9" w:rsidRPr="00A05184">
        <w:rPr>
          <w:color w:val="000000"/>
          <w:lang w:eastAsia="lv-LV"/>
        </w:rPr>
        <w:t>darbības nodrošināšanai</w:t>
      </w:r>
      <w:r w:rsidR="00D72FB9">
        <w:rPr>
          <w:color w:val="000000"/>
          <w:lang w:eastAsia="lv-LV"/>
        </w:rPr>
        <w:t>.</w:t>
      </w:r>
    </w:p>
    <w:p w:rsidR="009466C9" w:rsidRDefault="009466C9" w:rsidP="009466C9">
      <w:pPr>
        <w:widowControl w:val="0"/>
        <w:jc w:val="both"/>
        <w:rPr>
          <w:rFonts w:eastAsia="Times New Roman" w:cs="Times New Roman"/>
          <w:b/>
          <w:bCs/>
          <w:szCs w:val="24"/>
          <w:lang w:eastAsia="lv-LV"/>
        </w:rPr>
      </w:pPr>
    </w:p>
    <w:p w:rsidR="00E00174" w:rsidRPr="009466C9" w:rsidRDefault="00E00174" w:rsidP="009466C9">
      <w:pPr>
        <w:widowControl w:val="0"/>
        <w:jc w:val="both"/>
        <w:rPr>
          <w:rFonts w:eastAsia="Times New Roman" w:cs="Times New Roman"/>
          <w:b/>
          <w:bCs/>
          <w:szCs w:val="24"/>
          <w:lang w:eastAsia="lv-LV"/>
        </w:rPr>
      </w:pPr>
    </w:p>
    <w:p w:rsidR="009466C9" w:rsidRPr="009466C9" w:rsidRDefault="009466C9" w:rsidP="009466C9">
      <w:pPr>
        <w:numPr>
          <w:ilvl w:val="0"/>
          <w:numId w:val="1"/>
        </w:numPr>
        <w:spacing w:after="120"/>
        <w:jc w:val="center"/>
        <w:rPr>
          <w:rFonts w:eastAsia="Times New Roman" w:cs="Times New Roman"/>
          <w:b/>
          <w:bCs/>
          <w:szCs w:val="24"/>
          <w:lang w:eastAsia="lv-LV"/>
        </w:rPr>
      </w:pPr>
      <w:r w:rsidRPr="009466C9">
        <w:rPr>
          <w:rFonts w:eastAsia="Times New Roman" w:cs="Times New Roman"/>
          <w:b/>
          <w:bCs/>
          <w:szCs w:val="24"/>
          <w:lang w:eastAsia="lv-LV"/>
        </w:rPr>
        <w:t>Pakalpojuma kvalitāte</w:t>
      </w:r>
    </w:p>
    <w:p w:rsidR="009466C9" w:rsidRDefault="009466C9" w:rsidP="009466C9">
      <w:pPr>
        <w:widowControl w:val="0"/>
        <w:jc w:val="both"/>
        <w:rPr>
          <w:rFonts w:eastAsia="Times New Roman" w:cs="Times New Roman"/>
          <w:szCs w:val="24"/>
          <w:lang w:eastAsia="lv-LV"/>
        </w:rPr>
      </w:pPr>
      <w:r w:rsidRPr="009466C9">
        <w:rPr>
          <w:rFonts w:eastAsia="Times New Roman" w:cs="Times New Roman"/>
          <w:szCs w:val="24"/>
          <w:lang w:eastAsia="lv-LV"/>
        </w:rPr>
        <w:t>Kvalitatīvs Pakalpojums atbilst Līgumā un normatīvajos aktos noteiktām prasībām attiecībā uz Pakalpojuma kvalitāti.</w:t>
      </w:r>
    </w:p>
    <w:p w:rsidR="00E00174" w:rsidRPr="009466C9" w:rsidRDefault="00E00174" w:rsidP="009466C9">
      <w:pPr>
        <w:widowControl w:val="0"/>
        <w:jc w:val="both"/>
        <w:rPr>
          <w:rFonts w:eastAsia="Times New Roman" w:cs="Times New Roman"/>
          <w:szCs w:val="24"/>
          <w:lang w:eastAsia="lv-LV"/>
        </w:rPr>
      </w:pPr>
    </w:p>
    <w:p w:rsidR="009466C9" w:rsidRPr="009466C9" w:rsidRDefault="009466C9" w:rsidP="009466C9">
      <w:pPr>
        <w:widowControl w:val="0"/>
        <w:jc w:val="both"/>
        <w:rPr>
          <w:rFonts w:eastAsia="Times New Roman" w:cs="Times New Roman"/>
          <w:szCs w:val="24"/>
          <w:lang w:eastAsia="lv-LV"/>
        </w:rPr>
      </w:pPr>
    </w:p>
    <w:p w:rsidR="009466C9" w:rsidRPr="009466C9" w:rsidRDefault="009466C9" w:rsidP="009466C9">
      <w:pPr>
        <w:numPr>
          <w:ilvl w:val="0"/>
          <w:numId w:val="1"/>
        </w:numPr>
        <w:spacing w:after="120"/>
        <w:jc w:val="center"/>
        <w:rPr>
          <w:rFonts w:eastAsia="Times New Roman" w:cs="Times New Roman"/>
          <w:b/>
          <w:bCs/>
          <w:szCs w:val="24"/>
          <w:lang w:eastAsia="lv-LV"/>
        </w:rPr>
      </w:pPr>
      <w:r w:rsidRPr="009466C9">
        <w:rPr>
          <w:rFonts w:eastAsia="Times New Roman" w:cs="Times New Roman"/>
          <w:b/>
          <w:bCs/>
          <w:szCs w:val="24"/>
          <w:lang w:eastAsia="lv-LV"/>
        </w:rPr>
        <w:t>Pušu atbildība</w:t>
      </w:r>
    </w:p>
    <w:p w:rsidR="009466C9" w:rsidRPr="009466C9" w:rsidRDefault="009466C9" w:rsidP="009466C9">
      <w:pPr>
        <w:numPr>
          <w:ilvl w:val="1"/>
          <w:numId w:val="1"/>
        </w:numPr>
        <w:tabs>
          <w:tab w:val="left" w:pos="0"/>
        </w:tabs>
        <w:ind w:left="567" w:hanging="567"/>
        <w:contextualSpacing/>
        <w:jc w:val="both"/>
        <w:rPr>
          <w:rFonts w:eastAsia="Times New Roman" w:cs="Times New Roman"/>
          <w:szCs w:val="24"/>
          <w:lang w:eastAsia="lv-LV"/>
        </w:rPr>
      </w:pPr>
      <w:r w:rsidRPr="009466C9">
        <w:rPr>
          <w:rFonts w:eastAsia="Times New Roman" w:cs="Times New Roman"/>
          <w:bCs/>
          <w:szCs w:val="24"/>
          <w:lang w:eastAsia="lv-LV"/>
        </w:rPr>
        <w:t>Ja APDROŠINĀTĀJS nesniedz Pakalpojumu atbilstoši Līguma noteikumiem, kas izpaužas kā Līgumā noteikto termiņu neievērošana, tad APDROŠINĀJUMA ŅĒMĒJAM ir tiesības piemērot līgumsodu. Šādā gadījumā APDROŠINĀTĀJS pēc pirmā APDROŠINĀJUMA ŅĒMĒJA rakstiska pieprasījuma maksā APDROŠINĀJUMA ŅĒMĒJAM līgumsodu 0,01% (</w:t>
      </w:r>
      <w:r w:rsidRPr="009466C9">
        <w:rPr>
          <w:rFonts w:eastAsia="Times New Roman" w:cs="Times New Roman"/>
          <w:bCs/>
          <w:i/>
          <w:szCs w:val="24"/>
          <w:lang w:eastAsia="lv-LV"/>
        </w:rPr>
        <w:t>nulle, komats, nulle viens procents</w:t>
      </w:r>
      <w:r w:rsidRPr="009466C9">
        <w:rPr>
          <w:rFonts w:eastAsia="Times New Roman" w:cs="Times New Roman"/>
          <w:bCs/>
          <w:szCs w:val="24"/>
          <w:lang w:eastAsia="lv-LV"/>
        </w:rPr>
        <w:t xml:space="preserve">) apmērā (turpmāk − Līgumsods) no attiecīgās Polises Apdrošināšanas Prēmijas par katru kavēto dienu,  </w:t>
      </w:r>
      <w:r w:rsidRPr="009466C9">
        <w:rPr>
          <w:rFonts w:eastAsia="Times New Roman" w:cs="Times New Roman"/>
          <w:szCs w:val="24"/>
        </w:rPr>
        <w:t>bet ne vairāk kā 10 % no kavētās saistību summas.</w:t>
      </w:r>
    </w:p>
    <w:p w:rsidR="009466C9" w:rsidRPr="009466C9" w:rsidRDefault="009466C9" w:rsidP="009466C9">
      <w:pPr>
        <w:numPr>
          <w:ilvl w:val="1"/>
          <w:numId w:val="1"/>
        </w:numPr>
        <w:tabs>
          <w:tab w:val="left" w:pos="0"/>
        </w:tabs>
        <w:ind w:left="709" w:hanging="709"/>
        <w:contextualSpacing/>
        <w:jc w:val="both"/>
        <w:rPr>
          <w:rFonts w:eastAsia="Times New Roman" w:cs="Times New Roman"/>
          <w:szCs w:val="24"/>
          <w:lang w:eastAsia="lv-LV"/>
        </w:rPr>
      </w:pPr>
      <w:r w:rsidRPr="009466C9">
        <w:rPr>
          <w:rFonts w:eastAsia="Times New Roman" w:cs="Times New Roman"/>
          <w:szCs w:val="24"/>
          <w:lang w:eastAsia="lv-LV"/>
        </w:rPr>
        <w:t xml:space="preserve">Par apmaksas termiņa neievērošanu </w:t>
      </w:r>
      <w:r w:rsidRPr="009466C9">
        <w:rPr>
          <w:rFonts w:eastAsia="Times New Roman" w:cs="Times New Roman"/>
          <w:bCs/>
          <w:szCs w:val="24"/>
          <w:lang w:eastAsia="lv-LV"/>
        </w:rPr>
        <w:t>APDROŠINĀJUMA ŅĒMĒJS</w:t>
      </w:r>
      <w:r w:rsidRPr="009466C9">
        <w:rPr>
          <w:rFonts w:eastAsia="Times New Roman" w:cs="Times New Roman"/>
          <w:szCs w:val="24"/>
          <w:lang w:eastAsia="lv-LV"/>
        </w:rPr>
        <w:t xml:space="preserve">, pēc </w:t>
      </w:r>
      <w:r w:rsidRPr="009466C9">
        <w:rPr>
          <w:rFonts w:eastAsia="Times New Roman" w:cs="Times New Roman"/>
          <w:bCs/>
          <w:szCs w:val="24"/>
          <w:lang w:eastAsia="lv-LV"/>
        </w:rPr>
        <w:t>APDROŠINĀTĀJA</w:t>
      </w:r>
      <w:r w:rsidRPr="009466C9">
        <w:rPr>
          <w:rFonts w:eastAsia="Times New Roman" w:cs="Times New Roman"/>
          <w:szCs w:val="24"/>
          <w:lang w:eastAsia="lv-LV"/>
        </w:rPr>
        <w:t xml:space="preserve"> pirmā rakstiska pieprasījuma, maksā APDROŠINĀTĀJAM nokavējuma procentus 0,01% (</w:t>
      </w:r>
      <w:r w:rsidRPr="009466C9">
        <w:rPr>
          <w:rFonts w:eastAsia="Times New Roman" w:cs="Times New Roman"/>
          <w:i/>
          <w:szCs w:val="24"/>
          <w:lang w:eastAsia="lv-LV"/>
        </w:rPr>
        <w:t>nulle, komats, nulle viena procenta</w:t>
      </w:r>
      <w:r w:rsidRPr="009466C9">
        <w:rPr>
          <w:rFonts w:eastAsia="Times New Roman" w:cs="Times New Roman"/>
          <w:szCs w:val="24"/>
          <w:lang w:eastAsia="lv-LV"/>
        </w:rPr>
        <w:t>) apmērā no nokavētā maksājuma summas par katru nokavēto dienu. Nokavējuma procentu samaksa neatbrīvo no Līguma saistību izpildes.</w:t>
      </w:r>
    </w:p>
    <w:p w:rsidR="009466C9" w:rsidRPr="009466C9" w:rsidRDefault="009466C9" w:rsidP="009466C9">
      <w:pPr>
        <w:widowControl w:val="0"/>
        <w:numPr>
          <w:ilvl w:val="1"/>
          <w:numId w:val="1"/>
        </w:numPr>
        <w:ind w:left="680" w:hanging="680"/>
        <w:jc w:val="both"/>
        <w:rPr>
          <w:rFonts w:eastAsia="Times New Roman" w:cs="Times New Roman"/>
          <w:szCs w:val="24"/>
          <w:lang w:eastAsia="lv-LV"/>
        </w:rPr>
      </w:pPr>
      <w:r w:rsidRPr="009466C9">
        <w:rPr>
          <w:rFonts w:eastAsia="Times New Roman" w:cs="Times New Roman"/>
          <w:szCs w:val="24"/>
          <w:lang w:eastAsia="lv-LV"/>
        </w:rPr>
        <w:t xml:space="preserve">Pēc </w:t>
      </w:r>
      <w:r w:rsidRPr="009466C9">
        <w:rPr>
          <w:rFonts w:eastAsia="Times New Roman" w:cs="Times New Roman"/>
          <w:bCs/>
          <w:szCs w:val="24"/>
          <w:lang w:eastAsia="lv-LV"/>
        </w:rPr>
        <w:t>APDROŠINĀJUMA ŅĒMĒJA</w:t>
      </w:r>
      <w:r w:rsidRPr="009466C9">
        <w:rPr>
          <w:rFonts w:eastAsia="Times New Roman" w:cs="Times New Roman"/>
          <w:szCs w:val="24"/>
          <w:lang w:eastAsia="lv-LV"/>
        </w:rPr>
        <w:t xml:space="preserve"> rakstiska pieprasījuma APDROŠINĀTĀJS atlīdzina visus zaudējumus pilnā apmērā, kas radušies APDROŠINĀJUMA ŅĒMEJAM APDROŠINĀTĀJA vainas dēļ, Līguma nepienācīgas izpildes rezultātā.</w:t>
      </w:r>
    </w:p>
    <w:p w:rsidR="009466C9" w:rsidRPr="009466C9" w:rsidRDefault="009466C9" w:rsidP="009466C9">
      <w:pPr>
        <w:widowControl w:val="0"/>
        <w:numPr>
          <w:ilvl w:val="1"/>
          <w:numId w:val="1"/>
        </w:numPr>
        <w:ind w:left="680" w:hanging="680"/>
        <w:jc w:val="both"/>
        <w:rPr>
          <w:rFonts w:eastAsia="Times New Roman" w:cs="Times New Roman"/>
          <w:szCs w:val="24"/>
          <w:lang w:eastAsia="lv-LV"/>
        </w:rPr>
      </w:pPr>
      <w:r w:rsidRPr="009466C9">
        <w:rPr>
          <w:rFonts w:eastAsia="Times New Roman" w:cs="Times New Roman"/>
          <w:bCs/>
          <w:szCs w:val="24"/>
          <w:lang w:eastAsia="lv-LV"/>
        </w:rPr>
        <w:t>APDROŠINĀJUMA ŅĒMĒJAM</w:t>
      </w:r>
      <w:r w:rsidRPr="009466C9">
        <w:rPr>
          <w:rFonts w:eastAsia="Times New Roman" w:cs="Times New Roman"/>
          <w:szCs w:val="24"/>
          <w:lang w:eastAsia="lv-LV"/>
        </w:rPr>
        <w:t xml:space="preserve"> ir tiesības ieturēt Līguma ietvaros Apdrošinātajai personai izmaksājamo naudas summu par tādu summu, kas nepieciešama Līgumsoda, zaudējumu un/vai citu prasījumu dzēšanai.</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APDROŠINĀTĀJAM</w:t>
      </w:r>
      <w:r w:rsidRPr="009466C9">
        <w:rPr>
          <w:rFonts w:eastAsia="Times New Roman" w:cs="Times New Roman"/>
          <w:szCs w:val="24"/>
          <w:lang w:eastAsia="lv-LV"/>
        </w:rPr>
        <w:t xml:space="preserve"> netiek kompensēti ar Pakalpojuma nodrošināšanu  saistīti darbi, kuri jāveic atkārtoti sakarā ar konstatētiem trūkumiem Pakalpojuma izpildē.</w:t>
      </w:r>
    </w:p>
    <w:p w:rsidR="009466C9" w:rsidRDefault="009466C9" w:rsidP="009466C9">
      <w:pPr>
        <w:jc w:val="both"/>
        <w:rPr>
          <w:rFonts w:eastAsia="Times New Roman" w:cs="Times New Roman"/>
          <w:bCs/>
          <w:szCs w:val="24"/>
          <w:lang w:eastAsia="lv-LV"/>
        </w:rPr>
      </w:pPr>
    </w:p>
    <w:p w:rsidR="00E00174" w:rsidRPr="009466C9" w:rsidRDefault="00E00174" w:rsidP="009466C9">
      <w:pPr>
        <w:jc w:val="both"/>
        <w:rPr>
          <w:rFonts w:eastAsia="Times New Roman" w:cs="Times New Roman"/>
          <w:bCs/>
          <w:szCs w:val="24"/>
          <w:lang w:eastAsia="lv-LV"/>
        </w:rPr>
      </w:pPr>
    </w:p>
    <w:p w:rsidR="009466C9" w:rsidRPr="009466C9" w:rsidRDefault="009466C9" w:rsidP="009466C9">
      <w:pPr>
        <w:numPr>
          <w:ilvl w:val="0"/>
          <w:numId w:val="1"/>
        </w:numPr>
        <w:spacing w:after="120"/>
        <w:jc w:val="center"/>
        <w:rPr>
          <w:rFonts w:eastAsia="Times New Roman" w:cs="Times New Roman"/>
          <w:b/>
          <w:bCs/>
          <w:szCs w:val="24"/>
          <w:lang w:eastAsia="lv-LV"/>
        </w:rPr>
      </w:pPr>
      <w:r w:rsidRPr="009466C9">
        <w:rPr>
          <w:rFonts w:eastAsia="Times New Roman" w:cs="Times New Roman"/>
          <w:b/>
          <w:bCs/>
          <w:szCs w:val="24"/>
          <w:lang w:eastAsia="lv-LV"/>
        </w:rPr>
        <w:t>Nepārvarama vara</w:t>
      </w:r>
    </w:p>
    <w:p w:rsidR="009466C9" w:rsidRPr="009466C9" w:rsidRDefault="009466C9" w:rsidP="009466C9">
      <w:pPr>
        <w:numPr>
          <w:ilvl w:val="1"/>
          <w:numId w:val="1"/>
        </w:numPr>
        <w:ind w:left="709" w:hanging="709"/>
        <w:contextualSpacing/>
        <w:jc w:val="both"/>
        <w:rPr>
          <w:rFonts w:eastAsia="Times New Roman" w:cs="Times New Roman"/>
          <w:szCs w:val="24"/>
          <w:lang w:eastAsia="lv-LV"/>
        </w:rPr>
      </w:pPr>
      <w:r w:rsidRPr="009466C9">
        <w:rPr>
          <w:rFonts w:eastAsia="Times New Roman" w:cs="Times New Roman"/>
          <w:szCs w:val="24"/>
          <w:lang w:eastAsia="lv-LV"/>
        </w:rPr>
        <w:t>Puses tiek atbrīvotas no atbildības par Līguma saistību neizpildi, ja to izraisījuši nepārvaramas varas apstākļi, kurus Līguma slēdzēji nevarēja paredzēt, kontrolēt vai novērst un par kuru iestāšanos Līguma slēdzēji nav vainojami. Par nepārvaramās varas apstākļiem uzskatāmas dabas stihijas, ugunsgrēki, karadarbība, nemieri, sacelšanās, streiki, epidēmijas, embargo, ierobežojumi enerģijas padevē, valdības lēmumi un citi ārpus Līguma slēdzēju kontroles esoši apstākļi.</w:t>
      </w:r>
    </w:p>
    <w:p w:rsidR="009466C9" w:rsidRPr="009466C9" w:rsidRDefault="009466C9" w:rsidP="009466C9">
      <w:pPr>
        <w:ind w:left="709" w:hanging="709"/>
        <w:jc w:val="both"/>
        <w:rPr>
          <w:rFonts w:eastAsia="Times New Roman" w:cs="Times New Roman"/>
          <w:szCs w:val="24"/>
          <w:lang w:eastAsia="lv-LV"/>
        </w:rPr>
      </w:pPr>
      <w:r w:rsidRPr="009466C9">
        <w:rPr>
          <w:rFonts w:eastAsia="Times New Roman" w:cs="Times New Roman"/>
          <w:szCs w:val="24"/>
          <w:lang w:eastAsia="lv-LV"/>
        </w:rPr>
        <w:t>11.2.    Nepārvaramas varas iestāšanās gadījumā vienai Pusei nekavējoties rakstiski jāinformē par to otru Pusi.</w:t>
      </w:r>
    </w:p>
    <w:p w:rsidR="009466C9" w:rsidRDefault="009466C9" w:rsidP="009466C9">
      <w:pPr>
        <w:widowControl w:val="0"/>
        <w:jc w:val="both"/>
        <w:rPr>
          <w:rFonts w:eastAsia="Times New Roman" w:cs="Times New Roman"/>
          <w:b/>
          <w:bCs/>
          <w:szCs w:val="24"/>
          <w:lang w:eastAsia="lv-LV"/>
        </w:rPr>
      </w:pPr>
    </w:p>
    <w:p w:rsidR="00E00174" w:rsidRPr="009466C9" w:rsidRDefault="00E00174" w:rsidP="009466C9">
      <w:pPr>
        <w:widowControl w:val="0"/>
        <w:jc w:val="both"/>
        <w:rPr>
          <w:rFonts w:eastAsia="Times New Roman" w:cs="Times New Roman"/>
          <w:b/>
          <w:bCs/>
          <w:szCs w:val="24"/>
          <w:lang w:eastAsia="lv-LV"/>
        </w:rPr>
      </w:pPr>
    </w:p>
    <w:p w:rsidR="009466C9" w:rsidRPr="009466C9" w:rsidRDefault="009466C9" w:rsidP="009466C9">
      <w:pPr>
        <w:numPr>
          <w:ilvl w:val="0"/>
          <w:numId w:val="1"/>
        </w:numPr>
        <w:spacing w:after="120"/>
        <w:jc w:val="center"/>
        <w:rPr>
          <w:rFonts w:eastAsia="Times New Roman" w:cs="Times New Roman"/>
          <w:b/>
          <w:bCs/>
          <w:szCs w:val="24"/>
          <w:lang w:eastAsia="lv-LV"/>
        </w:rPr>
      </w:pPr>
      <w:r w:rsidRPr="009466C9">
        <w:rPr>
          <w:rFonts w:eastAsia="Times New Roman" w:cs="Times New Roman"/>
          <w:b/>
          <w:szCs w:val="24"/>
          <w:lang w:eastAsia="lv-LV"/>
        </w:rPr>
        <w:t>Strīdu izskatīšana un Līguma izbeigšana</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szCs w:val="24"/>
          <w:lang w:eastAsia="lv-LV"/>
        </w:rPr>
        <w:t>Strīdus un nesaskaņas, kas var rasties Līguma izpildes rezultātā vai sakarā ar Līgumu, Puses risina savstarpēju pārrunu ceļā.</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szCs w:val="24"/>
          <w:lang w:eastAsia="lv-LV"/>
        </w:rPr>
        <w:t>Ja Puses nevar panākt vienošanos 30 (</w:t>
      </w:r>
      <w:r w:rsidRPr="009466C9">
        <w:rPr>
          <w:rFonts w:eastAsia="Times New Roman" w:cs="Times New Roman"/>
          <w:i/>
          <w:szCs w:val="24"/>
          <w:lang w:eastAsia="lv-LV"/>
        </w:rPr>
        <w:t>trīsdesmit)</w:t>
      </w:r>
      <w:r w:rsidRPr="009466C9">
        <w:rPr>
          <w:rFonts w:eastAsia="Times New Roman" w:cs="Times New Roman"/>
          <w:szCs w:val="24"/>
          <w:lang w:eastAsia="lv-LV"/>
        </w:rPr>
        <w:t xml:space="preserve"> kalendāro dienu laikā, tad domstarpības risināmas saskaņā ar spēkā esošajiem normatīvajiem aktiem Latvijas Republikas tiesā.</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szCs w:val="24"/>
          <w:lang w:eastAsia="lv-LV"/>
        </w:rPr>
        <w:lastRenderedPageBreak/>
        <w:t>No Līguma izrietošās saistības ir apspriežamas atbilstoši Latvijas Republikas normatīvajiem aktiem.</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szCs w:val="24"/>
          <w:lang w:eastAsia="lv-LV"/>
        </w:rPr>
        <w:t>Jautājumos, kas Līgumā netiek noregulēti, Puses vadās pēc Latvijas Republikas spēkā esošajiem normatīvajiem aktiem.</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szCs w:val="24"/>
          <w:lang w:eastAsia="lv-LV"/>
        </w:rPr>
        <w:t>Puses var izbeigt Līgumu pirms Līguma termiņa beigām, Pusēm rakstveidā savstarpēji vienojoties.</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APDROŠINĀJUMA ŅĒMĒJAM</w:t>
      </w:r>
      <w:r w:rsidRPr="009466C9">
        <w:rPr>
          <w:rFonts w:eastAsia="Times New Roman" w:cs="Times New Roman"/>
          <w:szCs w:val="24"/>
          <w:lang w:eastAsia="lv-LV"/>
        </w:rPr>
        <w:t xml:space="preserve"> ir tiesības vienpusēji atkāpties no Līguma bez APDROŠINĀTĀJA piekrišanas, ja:</w:t>
      </w:r>
    </w:p>
    <w:p w:rsidR="009466C9" w:rsidRPr="009466C9" w:rsidRDefault="009466C9" w:rsidP="009466C9">
      <w:pPr>
        <w:widowControl w:val="0"/>
        <w:numPr>
          <w:ilvl w:val="2"/>
          <w:numId w:val="1"/>
        </w:numPr>
        <w:ind w:left="1418" w:hanging="709"/>
        <w:jc w:val="both"/>
        <w:rPr>
          <w:rFonts w:eastAsia="Times New Roman" w:cs="Times New Roman"/>
          <w:bCs/>
          <w:szCs w:val="24"/>
          <w:lang w:eastAsia="lv-LV"/>
        </w:rPr>
      </w:pPr>
      <w:r w:rsidRPr="009466C9">
        <w:rPr>
          <w:rFonts w:eastAsia="Times New Roman" w:cs="Times New Roman"/>
          <w:bCs/>
          <w:szCs w:val="24"/>
          <w:lang w:eastAsia="lv-LV"/>
        </w:rPr>
        <w:t>APDROŠINĀTĀJS nepilda/pilda nekvalitatīvi Līgumā noteiktās saistības un par to APDROŠINĀJUMA ŅĒMĒJS rakstveidā ir brīdinājis APDROŠINĀTĀJU;</w:t>
      </w:r>
    </w:p>
    <w:p w:rsidR="009466C9" w:rsidRPr="009466C9" w:rsidRDefault="009466C9" w:rsidP="009466C9">
      <w:pPr>
        <w:numPr>
          <w:ilvl w:val="2"/>
          <w:numId w:val="1"/>
        </w:numPr>
        <w:suppressAutoHyphens/>
        <w:ind w:left="1418" w:right="57" w:hanging="698"/>
        <w:contextualSpacing/>
        <w:jc w:val="both"/>
        <w:rPr>
          <w:rFonts w:eastAsia="Calibri" w:cs="Times New Roman"/>
          <w:b/>
          <w:szCs w:val="24"/>
          <w:lang w:eastAsia="lv-LV"/>
        </w:rPr>
      </w:pPr>
      <w:r w:rsidRPr="009466C9">
        <w:rPr>
          <w:rFonts w:eastAsia="Times New Roman" w:cs="Times New Roman"/>
          <w:szCs w:val="24"/>
          <w:lang w:eastAsia="lv-LV"/>
        </w:rPr>
        <w:t xml:space="preserve">ir pasludināts APDROŠINĀTĀJA maksātnespējas process/ iestājas citi apstākļi, kas liedz vai liegs APDROŠINĀTĀJAM turpināt Līguma izpildi saskaņā ar Līguma noteikumiem /kas negatīvi ietekmē </w:t>
      </w:r>
      <w:r w:rsidRPr="009466C9">
        <w:rPr>
          <w:rFonts w:eastAsia="Times New Roman" w:cs="Times New Roman"/>
          <w:bCs/>
          <w:szCs w:val="24"/>
          <w:lang w:eastAsia="lv-LV"/>
        </w:rPr>
        <w:t>APDROŠINĀJUMA ŅĒMĒJA</w:t>
      </w:r>
      <w:r w:rsidRPr="009466C9">
        <w:rPr>
          <w:rFonts w:eastAsia="Times New Roman" w:cs="Times New Roman"/>
          <w:szCs w:val="24"/>
          <w:lang w:eastAsia="lv-LV"/>
        </w:rPr>
        <w:t xml:space="preserve"> tiesības, kuras izriet no Līguma;</w:t>
      </w:r>
    </w:p>
    <w:p w:rsidR="009466C9" w:rsidRPr="009466C9" w:rsidRDefault="009466C9" w:rsidP="009466C9">
      <w:pPr>
        <w:widowControl w:val="0"/>
        <w:numPr>
          <w:ilvl w:val="2"/>
          <w:numId w:val="1"/>
        </w:numPr>
        <w:ind w:left="1418" w:hanging="709"/>
        <w:jc w:val="both"/>
        <w:rPr>
          <w:rFonts w:eastAsia="Times New Roman" w:cs="Times New Roman"/>
          <w:bCs/>
          <w:szCs w:val="24"/>
          <w:lang w:eastAsia="lv-LV"/>
        </w:rPr>
      </w:pPr>
      <w:r w:rsidRPr="009466C9">
        <w:rPr>
          <w:rFonts w:eastAsia="Times New Roman" w:cs="Times New Roman"/>
          <w:szCs w:val="24"/>
          <w:lang w:eastAsia="lv-LV"/>
        </w:rPr>
        <w:t>APDROŠINĀTĀJAM piemērotā Līgumsoda apmērs sasniedzis 10% (</w:t>
      </w:r>
      <w:r w:rsidRPr="009466C9">
        <w:rPr>
          <w:rFonts w:eastAsia="Times New Roman" w:cs="Times New Roman"/>
          <w:i/>
          <w:szCs w:val="24"/>
          <w:lang w:eastAsia="lv-LV"/>
        </w:rPr>
        <w:t>desmit procentus</w:t>
      </w:r>
      <w:r w:rsidRPr="009466C9">
        <w:rPr>
          <w:rFonts w:eastAsia="Times New Roman" w:cs="Times New Roman"/>
          <w:szCs w:val="24"/>
          <w:lang w:eastAsia="lv-LV"/>
        </w:rPr>
        <w:t xml:space="preserve">) no </w:t>
      </w:r>
      <w:r w:rsidRPr="009466C9">
        <w:rPr>
          <w:rFonts w:eastAsia="Times New Roman" w:cs="Times New Roman"/>
          <w:bCs/>
          <w:szCs w:val="24"/>
          <w:lang w:eastAsia="lv-LV"/>
        </w:rPr>
        <w:t>attiecīgās Polises Prēmijas;</w:t>
      </w:r>
    </w:p>
    <w:p w:rsidR="009466C9" w:rsidRPr="009466C9" w:rsidRDefault="009466C9" w:rsidP="009466C9">
      <w:pPr>
        <w:widowControl w:val="0"/>
        <w:numPr>
          <w:ilvl w:val="2"/>
          <w:numId w:val="1"/>
        </w:numPr>
        <w:ind w:left="1418" w:hanging="709"/>
        <w:jc w:val="both"/>
        <w:rPr>
          <w:rFonts w:eastAsia="Times New Roman" w:cs="Times New Roman"/>
          <w:bCs/>
          <w:szCs w:val="24"/>
          <w:lang w:eastAsia="lv-LV"/>
        </w:rPr>
      </w:pPr>
      <w:r w:rsidRPr="009466C9">
        <w:rPr>
          <w:rFonts w:eastAsia="Times New Roman" w:cs="Times New Roman"/>
          <w:szCs w:val="24"/>
          <w:lang w:eastAsia="lv-LV"/>
        </w:rPr>
        <w:t xml:space="preserve">Līguma izpildes laikā noskaidrojas, ka APDROŠINĀTĀJS nav spējīgs izpildīt Pakalpojumu saskaņā ar Līguma noteikumiem </w:t>
      </w:r>
      <w:r w:rsidRPr="009466C9">
        <w:t xml:space="preserve">(tajā skaitā </w:t>
      </w:r>
      <w:r w:rsidRPr="009466C9">
        <w:rPr>
          <w:rFonts w:eastAsia="Times New Roman" w:cs="Times New Roman"/>
          <w:szCs w:val="24"/>
          <w:lang w:eastAsia="lv-LV"/>
        </w:rPr>
        <w:t>APDROŠINĀTĀJS</w:t>
      </w:r>
      <w:r w:rsidRPr="009466C9">
        <w:t xml:space="preserve"> Līguma noslēgšanas vai Līguma izpildes laikā sniedzis nepatiesas ziņas vai apliecinājumus; pārkāpis normatīvos aktus attiecībā uz Līguma slēgšanu vai izpildi; pārkāpj vai nepilda citus būtiskus Līgumā paredzētus pienākumus; patvaļīgi pārtraucis Līguma izpildi, tajā skaitā tas nav sasniedzams juridiskajā adresē vai deklarētajā dzīvesvietas adresē)</w:t>
      </w:r>
      <w:r w:rsidRPr="009466C9">
        <w:rPr>
          <w:rFonts w:eastAsia="Times New Roman" w:cs="Times New Roman"/>
          <w:szCs w:val="24"/>
          <w:lang w:eastAsia="lv-LV"/>
        </w:rPr>
        <w:t>;</w:t>
      </w:r>
    </w:p>
    <w:p w:rsidR="009466C9" w:rsidRPr="009466C9" w:rsidRDefault="009466C9" w:rsidP="009466C9">
      <w:pPr>
        <w:widowControl w:val="0"/>
        <w:numPr>
          <w:ilvl w:val="2"/>
          <w:numId w:val="1"/>
        </w:numPr>
        <w:ind w:left="1418" w:hanging="709"/>
        <w:jc w:val="both"/>
        <w:rPr>
          <w:rFonts w:eastAsia="Times New Roman" w:cs="Times New Roman"/>
          <w:bCs/>
          <w:szCs w:val="24"/>
          <w:lang w:eastAsia="lv-LV"/>
        </w:rPr>
      </w:pPr>
      <w:r w:rsidRPr="009466C9">
        <w:rPr>
          <w:rFonts w:eastAsia="Times New Roman" w:cs="Times New Roman"/>
          <w:szCs w:val="24"/>
          <w:lang w:eastAsia="lv-LV"/>
        </w:rPr>
        <w:t xml:space="preserve">kļūst zināms, ka </w:t>
      </w:r>
      <w:r w:rsidRPr="009466C9">
        <w:rPr>
          <w:rFonts w:eastAsia="Times New Roman" w:cs="Times New Roman"/>
          <w:bCs/>
          <w:szCs w:val="24"/>
          <w:lang w:eastAsia="lv-LV"/>
        </w:rPr>
        <w:t>APDROŠINĀJUMA ŅĒMĒJS</w:t>
      </w:r>
      <w:r w:rsidRPr="009466C9">
        <w:rPr>
          <w:rFonts w:eastAsia="Times New Roman" w:cs="Times New Roman"/>
          <w:szCs w:val="24"/>
          <w:lang w:eastAsia="lv-LV"/>
        </w:rPr>
        <w:t xml:space="preserve"> nesaņems Līguma 5.1.apakšpunktā norādīto finansējumu. Šajā gadījumā </w:t>
      </w:r>
      <w:r w:rsidRPr="009466C9">
        <w:rPr>
          <w:rFonts w:eastAsia="Times New Roman" w:cs="Times New Roman"/>
          <w:bCs/>
          <w:szCs w:val="24"/>
          <w:lang w:eastAsia="lv-LV"/>
        </w:rPr>
        <w:t>APDROŠINĀJUMA ŅĒMĒJS</w:t>
      </w:r>
      <w:r w:rsidRPr="009466C9">
        <w:rPr>
          <w:rFonts w:eastAsia="Times New Roman" w:cs="Times New Roman"/>
          <w:szCs w:val="24"/>
          <w:lang w:eastAsia="lv-LV"/>
        </w:rPr>
        <w:t xml:space="preserve"> ar APDROŠINĀTĀJU norēķinās par faktiski izpildīto Pakalpojumu;</w:t>
      </w:r>
    </w:p>
    <w:p w:rsidR="009466C9" w:rsidRPr="009466C9" w:rsidRDefault="009466C9" w:rsidP="009466C9">
      <w:pPr>
        <w:widowControl w:val="0"/>
        <w:numPr>
          <w:ilvl w:val="2"/>
          <w:numId w:val="1"/>
        </w:numPr>
        <w:ind w:left="1418" w:hanging="709"/>
        <w:jc w:val="both"/>
        <w:rPr>
          <w:rFonts w:eastAsia="Times New Roman" w:cs="Times New Roman"/>
          <w:bCs/>
          <w:szCs w:val="24"/>
          <w:lang w:eastAsia="lv-LV"/>
        </w:rPr>
      </w:pPr>
      <w:r w:rsidRPr="009466C9">
        <w:rPr>
          <w:rFonts w:eastAsia="Times New Roman" w:cs="Times New Roman"/>
          <w:szCs w:val="24"/>
          <w:lang w:eastAsia="lv-LV"/>
        </w:rPr>
        <w:t>APDROŠINĀTĀJS pārtrauc savu darbību kā juridiska persona un tam nav tiesību un saistību pārņēmēja;</w:t>
      </w:r>
    </w:p>
    <w:p w:rsidR="009466C9" w:rsidRPr="009466C9" w:rsidRDefault="009466C9" w:rsidP="009466C9">
      <w:pPr>
        <w:numPr>
          <w:ilvl w:val="2"/>
          <w:numId w:val="1"/>
        </w:numPr>
        <w:suppressAutoHyphens/>
        <w:ind w:left="1418" w:right="57" w:hanging="698"/>
        <w:contextualSpacing/>
        <w:jc w:val="both"/>
        <w:rPr>
          <w:rFonts w:eastAsia="Calibri" w:cs="Times New Roman"/>
          <w:b/>
          <w:szCs w:val="24"/>
          <w:lang w:eastAsia="lv-LV"/>
        </w:rPr>
      </w:pPr>
      <w:r w:rsidRPr="009466C9">
        <w:rPr>
          <w:rFonts w:eastAsia="Times New Roman" w:cs="Times New Roman"/>
          <w:szCs w:val="24"/>
          <w:lang w:eastAsia="lv-LV"/>
        </w:rPr>
        <w:t>ārvalstu finanšu instrumenta vadībā iesaistīta iestāde saistībā ar APDROŠINĀTĀJA</w:t>
      </w:r>
      <w:r w:rsidRPr="009466C9">
        <w:rPr>
          <w:rFonts w:eastAsia="Times New Roman" w:cs="Times New Roman"/>
          <w:b/>
          <w:szCs w:val="24"/>
          <w:lang w:eastAsia="lv-LV"/>
        </w:rPr>
        <w:t xml:space="preserve"> </w:t>
      </w:r>
      <w:r w:rsidRPr="009466C9">
        <w:rPr>
          <w:rFonts w:eastAsia="Times New Roman" w:cs="Times New Roman"/>
          <w:szCs w:val="24"/>
          <w:lang w:eastAsia="lv-LV"/>
        </w:rPr>
        <w:t>darbību/ bezdarbību ir noteikusi ārvalstu finanšu instrumenta finansēta Projekta izmaksu korekciju vismaz 25 % (</w:t>
      </w:r>
      <w:r w:rsidRPr="009466C9">
        <w:rPr>
          <w:rFonts w:eastAsia="Times New Roman" w:cs="Times New Roman"/>
          <w:i/>
          <w:szCs w:val="24"/>
          <w:lang w:eastAsia="lv-LV"/>
        </w:rPr>
        <w:t>divdesmit pieci procenti</w:t>
      </w:r>
      <w:r w:rsidRPr="009466C9">
        <w:rPr>
          <w:rFonts w:eastAsia="Times New Roman" w:cs="Times New Roman"/>
          <w:szCs w:val="24"/>
          <w:lang w:eastAsia="lv-LV"/>
        </w:rPr>
        <w:t>) apmērā no Līguma summas;</w:t>
      </w:r>
    </w:p>
    <w:p w:rsidR="009466C9" w:rsidRPr="009466C9" w:rsidRDefault="009466C9" w:rsidP="009466C9">
      <w:pPr>
        <w:numPr>
          <w:ilvl w:val="2"/>
          <w:numId w:val="1"/>
        </w:numPr>
        <w:suppressAutoHyphens/>
        <w:ind w:left="1418" w:right="57" w:hanging="709"/>
        <w:contextualSpacing/>
        <w:jc w:val="both"/>
        <w:rPr>
          <w:rFonts w:eastAsia="Calibri" w:cs="Times New Roman"/>
          <w:b/>
          <w:szCs w:val="24"/>
          <w:lang w:eastAsia="lv-LV"/>
        </w:rPr>
      </w:pPr>
      <w:r w:rsidRPr="009466C9">
        <w:rPr>
          <w:rFonts w:eastAsia="Times New Roman" w:cs="Times New Roman"/>
          <w:szCs w:val="24"/>
          <w:lang w:eastAsia="lv-LV"/>
        </w:rPr>
        <w:t>ārvalstu finanšu instrumenta vadībā iesaistītā iestāde ir konstatējusi normatīvo aktu pārkāpumus Līguma noslēgšanas vai izpildes gaitā, un to dēļ tiek piemērota Līguma izmaksu korekcija 100 % (</w:t>
      </w:r>
      <w:r w:rsidRPr="009466C9">
        <w:rPr>
          <w:rFonts w:eastAsia="Times New Roman" w:cs="Times New Roman"/>
          <w:i/>
          <w:szCs w:val="24"/>
          <w:lang w:eastAsia="lv-LV"/>
        </w:rPr>
        <w:t>viens simts procenti</w:t>
      </w:r>
      <w:r w:rsidRPr="009466C9">
        <w:rPr>
          <w:rFonts w:eastAsia="Times New Roman" w:cs="Times New Roman"/>
          <w:szCs w:val="24"/>
          <w:lang w:eastAsia="lv-LV"/>
        </w:rPr>
        <w:t>) apmērā;</w:t>
      </w:r>
    </w:p>
    <w:p w:rsidR="009466C9" w:rsidRPr="009466C9" w:rsidRDefault="009466C9" w:rsidP="009466C9">
      <w:pPr>
        <w:numPr>
          <w:ilvl w:val="2"/>
          <w:numId w:val="1"/>
        </w:numPr>
        <w:suppressAutoHyphens/>
        <w:ind w:left="1418" w:right="57" w:hanging="698"/>
        <w:contextualSpacing/>
        <w:jc w:val="both"/>
        <w:rPr>
          <w:rFonts w:eastAsia="Calibri" w:cs="Times New Roman"/>
          <w:b/>
          <w:szCs w:val="24"/>
          <w:lang w:eastAsia="lv-LV"/>
        </w:rPr>
      </w:pPr>
      <w:r w:rsidRPr="009466C9">
        <w:rPr>
          <w:rFonts w:eastAsia="Times New Roman" w:cs="Times New Roman"/>
          <w:szCs w:val="24"/>
          <w:lang w:eastAsia="lv-LV"/>
        </w:rPr>
        <w:t>ja Latvijas Republikas Ministru kabinets ir pieņēmis lēmumu par attiecīgā struktūrfondu plānošanas perioda prioritāšu pārskatīšanu, un tādēļ APDROŠINĀJUMA ŅEMĒJAM ir būtiski samazināts/atcelts ārvalstu finanšu instrumenta finansējums, ko APDROŠINĀJUMA ŅEMĒJS plānoja izmantot Līgumā paredzēto maksājuma saistību segšanai;</w:t>
      </w:r>
    </w:p>
    <w:p w:rsidR="009466C9" w:rsidRPr="009466C9" w:rsidRDefault="009466C9" w:rsidP="009466C9">
      <w:pPr>
        <w:numPr>
          <w:ilvl w:val="2"/>
          <w:numId w:val="1"/>
        </w:numPr>
        <w:tabs>
          <w:tab w:val="left" w:pos="1560"/>
        </w:tabs>
        <w:suppressAutoHyphens/>
        <w:ind w:left="1418" w:right="57" w:hanging="698"/>
        <w:contextualSpacing/>
        <w:jc w:val="both"/>
        <w:rPr>
          <w:rFonts w:eastAsia="Calibri" w:cs="Times New Roman"/>
          <w:b/>
          <w:szCs w:val="24"/>
          <w:lang w:eastAsia="lv-LV"/>
        </w:rPr>
      </w:pPr>
      <w:r w:rsidRPr="009466C9">
        <w:rPr>
          <w:rFonts w:eastAsia="Times New Roman" w:cs="Times New Roman"/>
          <w:szCs w:val="24"/>
          <w:lang w:eastAsia="lv-LV"/>
        </w:rPr>
        <w:t>APDROŠINĀJUMAŅEMĒJS APDROŠINĀTĀJAM ir nodarījis zaudējumus;</w:t>
      </w:r>
    </w:p>
    <w:p w:rsidR="009466C9" w:rsidRPr="009466C9" w:rsidRDefault="009466C9" w:rsidP="009466C9">
      <w:pPr>
        <w:numPr>
          <w:ilvl w:val="2"/>
          <w:numId w:val="1"/>
        </w:numPr>
        <w:tabs>
          <w:tab w:val="left" w:pos="1560"/>
        </w:tabs>
        <w:ind w:hanging="4757"/>
        <w:contextualSpacing/>
        <w:rPr>
          <w:rFonts w:eastAsia="Calibri" w:cs="Times New Roman"/>
          <w:szCs w:val="24"/>
          <w:lang w:eastAsia="lv-LV"/>
        </w:rPr>
      </w:pPr>
      <w:r w:rsidRPr="009466C9">
        <w:rPr>
          <w:rFonts w:eastAsia="Calibri" w:cs="Times New Roman"/>
          <w:szCs w:val="24"/>
          <w:lang w:eastAsia="lv-LV"/>
        </w:rPr>
        <w:t>citos Latvijas Republikas normatīvajos aktos noteiktajos gadījumos.</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szCs w:val="24"/>
          <w:lang w:eastAsia="lv-LV"/>
        </w:rPr>
        <w:t xml:space="preserve">Līguma 12.6.punktā noteiktajos gadījumos Līgums uzskatāms par izbeigtu septītajā dienā pēc </w:t>
      </w:r>
      <w:r w:rsidRPr="009466C9">
        <w:rPr>
          <w:rFonts w:eastAsia="Times New Roman" w:cs="Times New Roman"/>
          <w:bCs/>
          <w:szCs w:val="24"/>
          <w:lang w:eastAsia="lv-LV"/>
        </w:rPr>
        <w:t>APDROŠINĀJUMA ŅĒMĒJA</w:t>
      </w:r>
      <w:r w:rsidRPr="009466C9">
        <w:rPr>
          <w:rFonts w:eastAsia="Times New Roman" w:cs="Times New Roman"/>
          <w:szCs w:val="24"/>
          <w:lang w:eastAsia="lv-LV"/>
        </w:rPr>
        <w:t xml:space="preserve"> rakstveida paziņojuma par atkāpšanos  izsūtīšanas dienas.</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Izbeidzot Līgumu 12.6.apakšpunktā noteiktajos gadījumos:</w:t>
      </w:r>
    </w:p>
    <w:p w:rsidR="009466C9" w:rsidRPr="009466C9" w:rsidRDefault="009466C9" w:rsidP="009466C9">
      <w:pPr>
        <w:widowControl w:val="0"/>
        <w:numPr>
          <w:ilvl w:val="2"/>
          <w:numId w:val="1"/>
        </w:numPr>
        <w:ind w:left="1418" w:hanging="709"/>
        <w:jc w:val="both"/>
        <w:rPr>
          <w:rFonts w:eastAsia="Times New Roman" w:cs="Times New Roman"/>
          <w:bCs/>
          <w:szCs w:val="24"/>
          <w:lang w:eastAsia="lv-LV"/>
        </w:rPr>
      </w:pPr>
      <w:r w:rsidRPr="009466C9">
        <w:rPr>
          <w:rFonts w:eastAsia="Times New Roman" w:cs="Times New Roman"/>
          <w:bCs/>
          <w:szCs w:val="24"/>
          <w:lang w:eastAsia="lv-LV"/>
        </w:rPr>
        <w:t>tiek izbeigtas un zaudē spēku saskaņā ar Līgumu izsniegtās Polises, izņemot Apdrošināto personu ģimenes locekļiem izsniegtās Kartes;</w:t>
      </w:r>
    </w:p>
    <w:p w:rsidR="009466C9" w:rsidRPr="009466C9" w:rsidRDefault="009466C9" w:rsidP="009466C9">
      <w:pPr>
        <w:widowControl w:val="0"/>
        <w:numPr>
          <w:ilvl w:val="2"/>
          <w:numId w:val="1"/>
        </w:numPr>
        <w:ind w:left="1418" w:hanging="709"/>
        <w:jc w:val="both"/>
        <w:rPr>
          <w:rFonts w:eastAsia="Times New Roman" w:cs="Times New Roman"/>
          <w:bCs/>
          <w:szCs w:val="24"/>
          <w:lang w:eastAsia="lv-LV"/>
        </w:rPr>
      </w:pPr>
      <w:r w:rsidRPr="009466C9">
        <w:rPr>
          <w:rFonts w:eastAsia="Times New Roman" w:cs="Times New Roman"/>
          <w:bCs/>
          <w:szCs w:val="24"/>
          <w:lang w:eastAsia="lv-LV"/>
        </w:rPr>
        <w:t>APDROŠINĀTĀJS atmaksā APDROŠINĀJUMA ŅĒMĒJAM neizmantotās Apdrošināšanas prēmijas daļu, kas ir proporcionāla atlikušajam Polises darbības laikam, neieturot izdevumus par administratīvajām izmaksām;</w:t>
      </w:r>
    </w:p>
    <w:p w:rsidR="009466C9" w:rsidRPr="009466C9" w:rsidRDefault="009466C9" w:rsidP="009466C9">
      <w:pPr>
        <w:widowControl w:val="0"/>
        <w:numPr>
          <w:ilvl w:val="2"/>
          <w:numId w:val="1"/>
        </w:numPr>
        <w:ind w:left="1418" w:hanging="709"/>
        <w:jc w:val="both"/>
        <w:rPr>
          <w:rFonts w:eastAsia="Times New Roman" w:cs="Times New Roman"/>
          <w:bCs/>
          <w:szCs w:val="24"/>
          <w:lang w:eastAsia="lv-LV"/>
        </w:rPr>
      </w:pPr>
      <w:r w:rsidRPr="009466C9">
        <w:rPr>
          <w:rFonts w:eastAsia="Times New Roman" w:cs="Times New Roman"/>
          <w:bCs/>
          <w:szCs w:val="24"/>
          <w:lang w:eastAsia="lv-LV"/>
        </w:rPr>
        <w:t>APDROŠINĀTĀJS maksā Līgumsodu un/vai atlīdzina visus APDROŠINĀJUMA ŅĒMĒJAM radušos zaudējumus saskaņā ar Līguma noteikumiem.</w:t>
      </w:r>
    </w:p>
    <w:p w:rsidR="009466C9" w:rsidRPr="009466C9" w:rsidRDefault="009466C9" w:rsidP="009466C9">
      <w:pPr>
        <w:widowControl w:val="0"/>
        <w:numPr>
          <w:ilvl w:val="1"/>
          <w:numId w:val="1"/>
        </w:numPr>
        <w:ind w:left="709" w:hanging="709"/>
        <w:contextualSpacing/>
        <w:jc w:val="both"/>
        <w:rPr>
          <w:rFonts w:eastAsia="Times New Roman" w:cs="Times New Roman"/>
          <w:bCs/>
          <w:szCs w:val="24"/>
          <w:lang w:eastAsia="lv-LV"/>
        </w:rPr>
      </w:pPr>
      <w:r w:rsidRPr="009466C9">
        <w:rPr>
          <w:rFonts w:eastAsia="Times New Roman" w:cs="Times New Roman"/>
          <w:bCs/>
          <w:szCs w:val="24"/>
          <w:lang w:eastAsia="lv-LV"/>
        </w:rPr>
        <w:t xml:space="preserve">APDROŠINĀTĀJAM ir tiesības vienpusēji atkāpties no </w:t>
      </w:r>
      <w:r w:rsidRPr="009466C9">
        <w:rPr>
          <w:rFonts w:eastAsia="Times New Roman" w:cs="Times New Roman"/>
          <w:szCs w:val="24"/>
          <w:lang w:eastAsia="lv-LV"/>
        </w:rPr>
        <w:t xml:space="preserve">Līguma bez </w:t>
      </w:r>
      <w:r w:rsidRPr="009466C9">
        <w:rPr>
          <w:rFonts w:eastAsia="Times New Roman" w:cs="Times New Roman"/>
          <w:bCs/>
          <w:szCs w:val="24"/>
          <w:lang w:eastAsia="lv-LV"/>
        </w:rPr>
        <w:lastRenderedPageBreak/>
        <w:t>APDROŠINĀJUMA ŅĒMĒJA</w:t>
      </w:r>
      <w:r w:rsidRPr="009466C9">
        <w:rPr>
          <w:rFonts w:eastAsia="Times New Roman" w:cs="Times New Roman"/>
          <w:szCs w:val="24"/>
          <w:lang w:eastAsia="lv-LV"/>
        </w:rPr>
        <w:t xml:space="preserve"> piekrišanas, ja </w:t>
      </w:r>
      <w:r w:rsidRPr="009466C9">
        <w:rPr>
          <w:rFonts w:eastAsia="Times New Roman" w:cs="Times New Roman"/>
          <w:bCs/>
          <w:szCs w:val="24"/>
          <w:lang w:eastAsia="lv-LV"/>
        </w:rPr>
        <w:t>APDROŠINĀJUMA ŅĒMĒJS</w:t>
      </w:r>
      <w:r w:rsidRPr="009466C9">
        <w:rPr>
          <w:rFonts w:eastAsia="Times New Roman" w:cs="Times New Roman"/>
          <w:szCs w:val="24"/>
          <w:lang w:eastAsia="lv-LV"/>
        </w:rPr>
        <w:t xml:space="preserve"> neveic samaksu par sniegto Pakalpojumu ilgāk kā 20 (</w:t>
      </w:r>
      <w:r w:rsidRPr="009466C9">
        <w:rPr>
          <w:rFonts w:eastAsia="Times New Roman" w:cs="Times New Roman"/>
          <w:i/>
          <w:szCs w:val="24"/>
          <w:lang w:eastAsia="lv-LV"/>
        </w:rPr>
        <w:t>divdesmit</w:t>
      </w:r>
      <w:r w:rsidRPr="009466C9">
        <w:rPr>
          <w:rFonts w:eastAsia="Times New Roman" w:cs="Times New Roman"/>
          <w:szCs w:val="24"/>
          <w:lang w:eastAsia="lv-LV"/>
        </w:rPr>
        <w:t>) darbdienas pēc Līgumā noteiktā samaksas termiņa.</w:t>
      </w:r>
    </w:p>
    <w:p w:rsidR="009466C9" w:rsidRPr="009466C9" w:rsidRDefault="009466C9" w:rsidP="009466C9">
      <w:pPr>
        <w:widowControl w:val="0"/>
        <w:numPr>
          <w:ilvl w:val="1"/>
          <w:numId w:val="1"/>
        </w:numPr>
        <w:ind w:left="680" w:hanging="680"/>
        <w:jc w:val="both"/>
        <w:rPr>
          <w:rFonts w:eastAsia="Times New Roman" w:cs="Times New Roman"/>
          <w:szCs w:val="24"/>
          <w:lang w:eastAsia="lv-LV"/>
        </w:rPr>
      </w:pPr>
      <w:r w:rsidRPr="009466C9">
        <w:rPr>
          <w:rFonts w:eastAsia="Times New Roman" w:cs="Times New Roman"/>
          <w:szCs w:val="24"/>
          <w:lang w:eastAsia="lv-LV"/>
        </w:rPr>
        <w:t xml:space="preserve">Līguma 12.9.punktā noteiktajos gadījumos LĪGUMS tiek izbeigts saskaņā ar </w:t>
      </w:r>
      <w:r w:rsidRPr="009466C9">
        <w:rPr>
          <w:rFonts w:eastAsia="Calibri" w:cs="Times New Roman"/>
          <w:bCs/>
          <w:szCs w:val="24"/>
          <w:lang w:eastAsia="lv-LV"/>
        </w:rPr>
        <w:t xml:space="preserve">likumu “Par apdrošināšanas līgumu” un citiem </w:t>
      </w:r>
      <w:r w:rsidRPr="009466C9">
        <w:rPr>
          <w:rFonts w:eastAsia="Times New Roman" w:cs="Times New Roman"/>
          <w:szCs w:val="24"/>
          <w:lang w:eastAsia="lv-LV"/>
        </w:rPr>
        <w:t>Latvijas Republikā spēkā esošajiem normatīvajiem aktiem.</w:t>
      </w:r>
    </w:p>
    <w:p w:rsidR="009466C9" w:rsidRDefault="009466C9" w:rsidP="009466C9">
      <w:pPr>
        <w:jc w:val="both"/>
        <w:rPr>
          <w:rFonts w:eastAsia="Times New Roman" w:cs="Times New Roman"/>
          <w:szCs w:val="24"/>
          <w:lang w:eastAsia="lv-LV"/>
        </w:rPr>
      </w:pPr>
    </w:p>
    <w:p w:rsidR="00E00174" w:rsidRPr="009466C9" w:rsidRDefault="00E00174" w:rsidP="009466C9">
      <w:pPr>
        <w:jc w:val="both"/>
        <w:rPr>
          <w:rFonts w:eastAsia="Times New Roman" w:cs="Times New Roman"/>
          <w:szCs w:val="24"/>
          <w:lang w:eastAsia="lv-LV"/>
        </w:rPr>
      </w:pPr>
    </w:p>
    <w:p w:rsidR="009466C9" w:rsidRPr="009466C9" w:rsidRDefault="009466C9" w:rsidP="009466C9">
      <w:pPr>
        <w:numPr>
          <w:ilvl w:val="0"/>
          <w:numId w:val="1"/>
        </w:numPr>
        <w:spacing w:after="120"/>
        <w:jc w:val="center"/>
        <w:rPr>
          <w:rFonts w:eastAsia="Times New Roman" w:cs="Times New Roman"/>
          <w:b/>
          <w:bCs/>
          <w:szCs w:val="24"/>
          <w:lang w:eastAsia="lv-LV"/>
        </w:rPr>
      </w:pPr>
      <w:r w:rsidRPr="009466C9">
        <w:rPr>
          <w:rFonts w:eastAsia="Times New Roman" w:cs="Times New Roman"/>
          <w:b/>
          <w:szCs w:val="24"/>
          <w:lang w:eastAsia="lv-LV"/>
        </w:rPr>
        <w:t>Kontaktpersonas</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APDROŠINĀJUMA ŅĒMĒJA</w:t>
      </w:r>
      <w:r w:rsidRPr="009466C9">
        <w:rPr>
          <w:rFonts w:eastAsia="Times New Roman" w:cs="Times New Roman"/>
          <w:szCs w:val="24"/>
        </w:rPr>
        <w:t xml:space="preserve"> par Līguma izpildi atbildīgā kontaktpersona:</w:t>
      </w:r>
      <w:r w:rsidRPr="009466C9">
        <w:rPr>
          <w:rFonts w:eastAsia="Times New Roman" w:cs="Times New Roman"/>
          <w:szCs w:val="24"/>
          <w:lang w:eastAsia="lv-LV"/>
        </w:rPr>
        <w:t xml:space="preserve"> </w:t>
      </w:r>
      <w:r w:rsidR="003B407D">
        <w:rPr>
          <w:rFonts w:eastAsia="Times New Roman" w:cs="Times New Roman"/>
          <w:szCs w:val="24"/>
        </w:rPr>
        <w:t xml:space="preserve">Administratīvās nodrošinājuma </w:t>
      </w:r>
      <w:r w:rsidR="00537D9C">
        <w:rPr>
          <w:rFonts w:eastAsia="Times New Roman" w:cs="Times New Roman"/>
          <w:szCs w:val="24"/>
        </w:rPr>
        <w:t>nodaļas vadītāja Ivonna Iļjenko</w:t>
      </w:r>
      <w:r w:rsidRPr="009466C9">
        <w:rPr>
          <w:rFonts w:eastAsia="Times New Roman" w:cs="Times New Roman"/>
          <w:szCs w:val="24"/>
        </w:rPr>
        <w:t>, tālruņa Nr.:</w:t>
      </w:r>
      <w:r w:rsidR="00537D9C" w:rsidRPr="00537D9C">
        <w:rPr>
          <w:rFonts w:ascii="Helvetica" w:hAnsi="Helvetica" w:cs="Helvetica"/>
          <w:b/>
          <w:bCs/>
          <w:color w:val="3E3D40"/>
          <w:sz w:val="17"/>
          <w:szCs w:val="17"/>
          <w:shd w:val="clear" w:color="auto" w:fill="EDEEEE"/>
        </w:rPr>
        <w:t xml:space="preserve"> </w:t>
      </w:r>
      <w:r w:rsidR="00537D9C" w:rsidRPr="00537D9C">
        <w:rPr>
          <w:rFonts w:eastAsia="Times New Roman" w:cs="Times New Roman"/>
          <w:bCs/>
          <w:color w:val="333333"/>
          <w:szCs w:val="24"/>
          <w:lang w:eastAsia="lv-LV"/>
        </w:rPr>
        <w:t>27017761</w:t>
      </w:r>
      <w:r w:rsidR="00537D9C">
        <w:rPr>
          <w:rFonts w:eastAsia="Times New Roman" w:cs="Times New Roman"/>
          <w:szCs w:val="24"/>
        </w:rPr>
        <w:t>; e-pasts: ivonna.iljenko@ cfla.gov.lv</w:t>
      </w:r>
      <w:r w:rsidRPr="009466C9">
        <w:rPr>
          <w:rFonts w:eastAsia="Times New Roman" w:cs="Times New Roman"/>
          <w:szCs w:val="24"/>
        </w:rPr>
        <w:t>.</w:t>
      </w:r>
    </w:p>
    <w:p w:rsidR="009466C9" w:rsidRDefault="009466C9" w:rsidP="009466C9">
      <w:pPr>
        <w:widowControl w:val="0"/>
        <w:numPr>
          <w:ilvl w:val="1"/>
          <w:numId w:val="1"/>
        </w:numPr>
        <w:spacing w:after="120"/>
        <w:ind w:left="680" w:hanging="680"/>
        <w:jc w:val="both"/>
        <w:rPr>
          <w:rFonts w:eastAsia="Times New Roman" w:cs="Times New Roman"/>
          <w:bCs/>
          <w:szCs w:val="24"/>
          <w:lang w:eastAsia="lv-LV"/>
        </w:rPr>
      </w:pPr>
      <w:r w:rsidRPr="009466C9">
        <w:rPr>
          <w:rFonts w:eastAsia="Times New Roman" w:cs="Times New Roman"/>
          <w:szCs w:val="24"/>
        </w:rPr>
        <w:t xml:space="preserve">APDROŠINĀTĀJA kontaktpersona: Pārdošanas kanāla vadītājs Reinis Savickis tālruņa Nr.: </w:t>
      </w:r>
      <w:r w:rsidRPr="009466C9">
        <w:rPr>
          <w:rFonts w:eastAsiaTheme="minorEastAsia" w:cs="Arial"/>
          <w:noProof/>
          <w:lang w:eastAsia="lv-LV"/>
        </w:rPr>
        <w:t>67606952</w:t>
      </w:r>
      <w:r w:rsidRPr="009466C9">
        <w:rPr>
          <w:rFonts w:eastAsia="Times New Roman" w:cs="Times New Roman"/>
          <w:szCs w:val="24"/>
        </w:rPr>
        <w:t xml:space="preserve">; e-pasts: </w:t>
      </w:r>
      <w:hyperlink r:id="rId7" w:history="1">
        <w:r w:rsidRPr="009466C9">
          <w:rPr>
            <w:rFonts w:eastAsia="Times New Roman" w:cs="Times New Roman"/>
            <w:color w:val="0563C1" w:themeColor="hyperlink"/>
            <w:szCs w:val="24"/>
            <w:u w:val="single"/>
          </w:rPr>
          <w:t>reinis.savickis@compensalife.lv</w:t>
        </w:r>
      </w:hyperlink>
      <w:r w:rsidRPr="009466C9">
        <w:rPr>
          <w:rFonts w:eastAsia="Times New Roman" w:cs="Times New Roman"/>
          <w:szCs w:val="24"/>
        </w:rPr>
        <w:t xml:space="preserve"> </w:t>
      </w:r>
      <w:r w:rsidRPr="009466C9">
        <w:rPr>
          <w:rFonts w:eastAsia="Times New Roman" w:cs="Times New Roman"/>
          <w:szCs w:val="24"/>
          <w:lang w:eastAsia="lv-LV"/>
        </w:rPr>
        <w:t>.</w:t>
      </w:r>
    </w:p>
    <w:p w:rsidR="00E00174" w:rsidRPr="00E00174" w:rsidRDefault="00E00174" w:rsidP="00E00174">
      <w:pPr>
        <w:widowControl w:val="0"/>
        <w:spacing w:after="120"/>
        <w:ind w:left="680"/>
        <w:jc w:val="both"/>
        <w:rPr>
          <w:rFonts w:eastAsia="Times New Roman" w:cs="Times New Roman"/>
          <w:bCs/>
          <w:szCs w:val="24"/>
          <w:lang w:eastAsia="lv-LV"/>
        </w:rPr>
      </w:pPr>
    </w:p>
    <w:p w:rsidR="009466C9" w:rsidRPr="009466C9" w:rsidRDefault="009466C9" w:rsidP="009466C9">
      <w:pPr>
        <w:numPr>
          <w:ilvl w:val="0"/>
          <w:numId w:val="1"/>
        </w:numPr>
        <w:spacing w:after="120"/>
        <w:jc w:val="center"/>
        <w:rPr>
          <w:rFonts w:eastAsia="Times New Roman" w:cs="Times New Roman"/>
          <w:b/>
          <w:bCs/>
          <w:szCs w:val="24"/>
          <w:lang w:eastAsia="lv-LV"/>
        </w:rPr>
      </w:pPr>
      <w:r w:rsidRPr="009466C9">
        <w:rPr>
          <w:rFonts w:eastAsia="Times New Roman" w:cs="Times New Roman"/>
          <w:b/>
          <w:bCs/>
          <w:szCs w:val="24"/>
          <w:lang w:eastAsia="lv-LV"/>
        </w:rPr>
        <w:t>Citi noteikumi</w:t>
      </w:r>
    </w:p>
    <w:p w:rsidR="009466C9" w:rsidRPr="009466C9" w:rsidRDefault="009466C9" w:rsidP="009466C9">
      <w:pPr>
        <w:numPr>
          <w:ilvl w:val="1"/>
          <w:numId w:val="1"/>
        </w:numPr>
        <w:ind w:left="709" w:hanging="709"/>
        <w:contextualSpacing/>
        <w:jc w:val="both"/>
        <w:rPr>
          <w:rFonts w:eastAsia="Calibri" w:cs="Times New Roman"/>
          <w:szCs w:val="24"/>
          <w:lang w:eastAsia="lv-LV"/>
        </w:rPr>
      </w:pPr>
      <w:r w:rsidRPr="009466C9">
        <w:rPr>
          <w:rFonts w:eastAsia="Times New Roman" w:cs="Times New Roman"/>
          <w:szCs w:val="24"/>
          <w:lang w:eastAsia="lv-LV"/>
        </w:rPr>
        <w:t>Visi Līgumā minētie pielikumi, kā arī pēc Līguma noslēgšanas sastādītie Līguma grozījumi /papildinājumi ir Līguma neatņemamas sastāvdaļas.</w:t>
      </w:r>
    </w:p>
    <w:p w:rsidR="009466C9" w:rsidRPr="009466C9" w:rsidRDefault="009466C9" w:rsidP="009466C9">
      <w:pPr>
        <w:widowControl w:val="0"/>
        <w:numPr>
          <w:ilvl w:val="1"/>
          <w:numId w:val="1"/>
        </w:numPr>
        <w:ind w:left="680" w:hanging="680"/>
        <w:contextualSpacing/>
        <w:jc w:val="both"/>
        <w:rPr>
          <w:rFonts w:eastAsia="Times New Roman" w:cs="Times New Roman"/>
          <w:bCs/>
          <w:szCs w:val="24"/>
          <w:lang w:eastAsia="lv-LV"/>
        </w:rPr>
      </w:pPr>
      <w:r w:rsidRPr="009466C9">
        <w:rPr>
          <w:rFonts w:eastAsia="Times New Roman" w:cs="Times New Roman"/>
          <w:szCs w:val="24"/>
          <w:lang w:eastAsia="lv-LV"/>
        </w:rPr>
        <w:t>Puses vienojas, ka Līguma grozījumi pieļaujami PIL 61. pantā noteiktajos gadījumos, izņemot nebūtiskus grozījumus (Līguma 13., 15.punktā iekļautās informācijas grozījumi u.c.).</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Ja APDROŠINĀTĀJS ir iesniedzis Apdrošināšanas noteikumus un tie ir pretrunā ar Līguma noteikumiem Pusēm saistoši un prioritāri ir Līgumā minētie noteikumi.</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APDROŠINĀTĀJAM</w:t>
      </w:r>
      <w:r w:rsidRPr="009466C9">
        <w:rPr>
          <w:rFonts w:eastAsia="Times New Roman" w:cs="Times New Roman"/>
          <w:szCs w:val="20"/>
          <w:lang w:eastAsia="lv-LV"/>
        </w:rPr>
        <w:t xml:space="preserve"> visā Līguma spēkā esamības laikā ir saistošs tā Konkursam iesniegtais piedāvājums.</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szCs w:val="24"/>
        </w:rPr>
        <w:t>Ja kādi no Līguma noteikumiem zaudē juridisku spēku, tas nerada pārējo noteikumu spēkā neesamību.</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Calibri" w:cs="Times New Roman"/>
          <w:bCs/>
          <w:szCs w:val="24"/>
          <w:lang w:eastAsia="lv-LV"/>
        </w:rPr>
        <w:t xml:space="preserve">APDROŠINĀTĀJS apliecina, ka necels pretenzijas pret APDROŠINŠJUMA ŅĒMĒJU, ciktāl tas nav pretrunā ar likumu “Par apdrošināšanas līgumu”, gadījumos, ja </w:t>
      </w:r>
      <w:r w:rsidRPr="009466C9">
        <w:rPr>
          <w:rFonts w:eastAsia="Times New Roman" w:cs="Times New Roman"/>
          <w:bCs/>
          <w:szCs w:val="24"/>
          <w:lang w:eastAsia="lv-LV"/>
        </w:rPr>
        <w:t>Apdrošinātā persona</w:t>
      </w:r>
      <w:r w:rsidRPr="009466C9">
        <w:rPr>
          <w:rFonts w:eastAsia="Calibri" w:cs="Times New Roman"/>
          <w:bCs/>
          <w:szCs w:val="24"/>
          <w:lang w:eastAsia="lv-LV"/>
        </w:rPr>
        <w:t xml:space="preserve"> noslēgtā Līguma (Polises) ietvaros ir pārtērējusi apdrošinājuma  summas un limitus, saņēmusi Pakalpojumus, kas nav paredzēti apdrošināšanas programmā, kā arī, ja </w:t>
      </w:r>
      <w:r w:rsidRPr="009466C9">
        <w:rPr>
          <w:rFonts w:eastAsia="Times New Roman" w:cs="Times New Roman"/>
          <w:bCs/>
          <w:szCs w:val="24"/>
          <w:lang w:eastAsia="lv-LV"/>
        </w:rPr>
        <w:t>Apdrošinātā persona</w:t>
      </w:r>
      <w:r w:rsidRPr="009466C9">
        <w:rPr>
          <w:rFonts w:eastAsia="Calibri" w:cs="Times New Roman"/>
          <w:bCs/>
          <w:szCs w:val="24"/>
          <w:lang w:eastAsia="lv-LV"/>
        </w:rPr>
        <w:t xml:space="preserve"> saņēmusi pakalpojumus pēc Kartes darbības pārtraukšanas.</w:t>
      </w:r>
    </w:p>
    <w:p w:rsidR="009466C9" w:rsidRPr="009466C9" w:rsidRDefault="009466C9" w:rsidP="009466C9">
      <w:pPr>
        <w:widowControl w:val="0"/>
        <w:numPr>
          <w:ilvl w:val="1"/>
          <w:numId w:val="1"/>
        </w:numPr>
        <w:ind w:left="709" w:hanging="709"/>
        <w:jc w:val="both"/>
        <w:rPr>
          <w:rFonts w:eastAsia="Times New Roman" w:cs="Times New Roman"/>
          <w:bCs/>
          <w:szCs w:val="24"/>
          <w:lang w:eastAsia="lv-LV"/>
        </w:rPr>
      </w:pPr>
      <w:r w:rsidRPr="009466C9">
        <w:rPr>
          <w:rFonts w:eastAsia="Times New Roman" w:cs="Times New Roman"/>
          <w:szCs w:val="24"/>
          <w:lang w:eastAsia="lv-LV"/>
        </w:rPr>
        <w:t xml:space="preserve">APDROŠINĀTĀJS kā personas datu pārzinis LĪGUMA izpildē apstrādā APDROŠINĀJUMA ŅĒMĒJA darbinieku personas datus, tajā skaitā sensitīvos personas datus un personas identifikācijas kodu, ievērojot </w:t>
      </w:r>
      <w:r w:rsidR="00A32A0A" w:rsidRPr="009466C9">
        <w:rPr>
          <w:rFonts w:eastAsia="Times New Roman" w:cs="Times New Roman"/>
          <w:szCs w:val="24"/>
          <w:lang w:eastAsia="lv-LV"/>
        </w:rPr>
        <w:t xml:space="preserve">Fizisko personu datu aizsardzības </w:t>
      </w:r>
      <w:r w:rsidR="00A32A0A" w:rsidRPr="00A32A0A">
        <w:t xml:space="preserve">likumā un citu ar šo regulējumu saistīto normatīvo aktu noteiktās </w:t>
      </w:r>
      <w:r w:rsidR="003053E6" w:rsidRPr="00A32A0A">
        <w:t xml:space="preserve">tehniskās un </w:t>
      </w:r>
      <w:r w:rsidR="00A32A0A" w:rsidRPr="00A32A0A">
        <w:t>organizatoriskās</w:t>
      </w:r>
      <w:r w:rsidR="003053E6">
        <w:t xml:space="preserve"> prasības</w:t>
      </w:r>
      <w:r w:rsidRPr="00A32A0A">
        <w:rPr>
          <w:rFonts w:eastAsia="Times New Roman" w:cs="Times New Roman"/>
          <w:szCs w:val="24"/>
          <w:lang w:eastAsia="lv-LV"/>
        </w:rPr>
        <w:t>.</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bCs/>
          <w:szCs w:val="24"/>
          <w:lang w:eastAsia="lv-LV"/>
        </w:rPr>
        <w:t>APDROŠINĀTĀJAM kā datu pārzinim LĪGUMA izpildē ir tiesības izmantot personas datu operatoru, to rakstiski saskaņojot ar APDROŠINĀJUMA ŅĒMĒJU.</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szCs w:val="24"/>
        </w:rPr>
        <w:t>Puse 7 (</w:t>
      </w:r>
      <w:r w:rsidRPr="009466C9">
        <w:rPr>
          <w:rFonts w:eastAsia="Times New Roman" w:cs="Times New Roman"/>
          <w:i/>
          <w:szCs w:val="24"/>
        </w:rPr>
        <w:t>septiņu</w:t>
      </w:r>
      <w:r w:rsidRPr="009466C9">
        <w:rPr>
          <w:rFonts w:eastAsia="Times New Roman" w:cs="Times New Roman"/>
          <w:szCs w:val="24"/>
        </w:rPr>
        <w:t>) kalendāro dienu laikā informē otru Pusi par adreses, kontaktpersonu, bankas rēķinu / citu rekvizītu izmaiņām.</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szCs w:val="24"/>
        </w:rPr>
        <w:t>Paziņojumi par atkāpšanos no Līguma/cita veida korespondence, kas attiecas uz Līgumu, nosūtāma ierakstītas  vēstules veidā uz Līgumā norādītajām Pušu adresēm.</w:t>
      </w:r>
    </w:p>
    <w:p w:rsidR="009466C9" w:rsidRPr="009466C9" w:rsidRDefault="009466C9" w:rsidP="009466C9">
      <w:pPr>
        <w:widowControl w:val="0"/>
        <w:numPr>
          <w:ilvl w:val="1"/>
          <w:numId w:val="1"/>
        </w:numPr>
        <w:ind w:left="680" w:hanging="680"/>
        <w:jc w:val="both"/>
        <w:rPr>
          <w:rFonts w:eastAsia="Times New Roman" w:cs="Times New Roman"/>
          <w:bCs/>
          <w:szCs w:val="24"/>
          <w:lang w:eastAsia="lv-LV"/>
        </w:rPr>
      </w:pPr>
      <w:r w:rsidRPr="009466C9">
        <w:rPr>
          <w:rFonts w:eastAsia="Times New Roman" w:cs="Times New Roman"/>
          <w:szCs w:val="24"/>
        </w:rPr>
        <w:t>Līgum</w:t>
      </w:r>
      <w:r w:rsidR="009C6B04">
        <w:rPr>
          <w:rFonts w:eastAsia="Times New Roman" w:cs="Times New Roman"/>
          <w:szCs w:val="24"/>
        </w:rPr>
        <w:t>s sastādīts latviešu valodā uz 8</w:t>
      </w:r>
      <w:r w:rsidRPr="009466C9">
        <w:rPr>
          <w:rFonts w:eastAsia="Times New Roman" w:cs="Times New Roman"/>
          <w:szCs w:val="24"/>
        </w:rPr>
        <w:t xml:space="preserve"> (</w:t>
      </w:r>
      <w:r w:rsidR="009C6B04">
        <w:rPr>
          <w:rFonts w:eastAsia="Times New Roman" w:cs="Times New Roman"/>
          <w:szCs w:val="24"/>
        </w:rPr>
        <w:t>astoņām</w:t>
      </w:r>
      <w:r w:rsidRPr="009466C9">
        <w:rPr>
          <w:rFonts w:eastAsia="Times New Roman" w:cs="Times New Roman"/>
          <w:szCs w:val="24"/>
        </w:rPr>
        <w:t>) lapām, ar šādiem pielikumiem, kas ir neatņemamas Līguma sastāvdaļas:</w:t>
      </w:r>
    </w:p>
    <w:p w:rsidR="009466C9" w:rsidRPr="009466C9" w:rsidRDefault="009466C9" w:rsidP="009466C9">
      <w:pPr>
        <w:widowControl w:val="0"/>
        <w:numPr>
          <w:ilvl w:val="2"/>
          <w:numId w:val="1"/>
        </w:numPr>
        <w:tabs>
          <w:tab w:val="left" w:pos="1560"/>
        </w:tabs>
        <w:ind w:left="851" w:hanging="142"/>
        <w:jc w:val="both"/>
        <w:rPr>
          <w:rFonts w:eastAsia="Times New Roman" w:cs="Times New Roman"/>
          <w:bCs/>
          <w:szCs w:val="24"/>
          <w:lang w:eastAsia="lv-LV"/>
        </w:rPr>
      </w:pPr>
      <w:r w:rsidRPr="009466C9">
        <w:rPr>
          <w:rFonts w:eastAsia="Times New Roman" w:cs="Times New Roman"/>
          <w:szCs w:val="24"/>
        </w:rPr>
        <w:t>1.pielikums: Tehniskā specifikācija;</w:t>
      </w:r>
    </w:p>
    <w:p w:rsidR="009466C9" w:rsidRPr="009466C9" w:rsidRDefault="009466C9" w:rsidP="009466C9">
      <w:pPr>
        <w:widowControl w:val="0"/>
        <w:numPr>
          <w:ilvl w:val="2"/>
          <w:numId w:val="1"/>
        </w:numPr>
        <w:tabs>
          <w:tab w:val="left" w:pos="1560"/>
        </w:tabs>
        <w:ind w:left="1418" w:hanging="709"/>
        <w:jc w:val="both"/>
        <w:rPr>
          <w:rFonts w:eastAsia="Times New Roman" w:cs="Times New Roman"/>
          <w:bCs/>
          <w:szCs w:val="24"/>
          <w:lang w:eastAsia="lv-LV"/>
        </w:rPr>
      </w:pPr>
      <w:r w:rsidRPr="009466C9">
        <w:rPr>
          <w:rFonts w:eastAsia="Times New Roman" w:cs="Times New Roman"/>
          <w:szCs w:val="24"/>
        </w:rPr>
        <w:t>2.pielikums: Finanšu piedāvājums;</w:t>
      </w:r>
    </w:p>
    <w:p w:rsidR="009466C9" w:rsidRPr="009466C9" w:rsidRDefault="009466C9" w:rsidP="009466C9">
      <w:pPr>
        <w:widowControl w:val="0"/>
        <w:numPr>
          <w:ilvl w:val="2"/>
          <w:numId w:val="1"/>
        </w:numPr>
        <w:tabs>
          <w:tab w:val="left" w:pos="1560"/>
        </w:tabs>
        <w:ind w:left="1276" w:hanging="567"/>
        <w:jc w:val="both"/>
        <w:rPr>
          <w:rFonts w:eastAsia="Times New Roman" w:cs="Times New Roman"/>
          <w:bCs/>
          <w:szCs w:val="24"/>
          <w:lang w:eastAsia="lv-LV"/>
        </w:rPr>
      </w:pPr>
      <w:r w:rsidRPr="009466C9">
        <w:rPr>
          <w:rFonts w:eastAsia="Times New Roman" w:cs="Times New Roman"/>
          <w:szCs w:val="24"/>
        </w:rPr>
        <w:t>3.pielikums: Apdrošināto personu saraksts;</w:t>
      </w:r>
    </w:p>
    <w:p w:rsidR="009466C9" w:rsidRPr="009466C9" w:rsidRDefault="009466C9" w:rsidP="009466C9">
      <w:pPr>
        <w:widowControl w:val="0"/>
        <w:numPr>
          <w:ilvl w:val="2"/>
          <w:numId w:val="1"/>
        </w:numPr>
        <w:tabs>
          <w:tab w:val="left" w:pos="1560"/>
        </w:tabs>
        <w:ind w:left="993" w:hanging="284"/>
        <w:jc w:val="both"/>
        <w:rPr>
          <w:rFonts w:eastAsia="Times New Roman" w:cs="Times New Roman"/>
          <w:bCs/>
          <w:szCs w:val="24"/>
          <w:lang w:eastAsia="lv-LV"/>
        </w:rPr>
      </w:pPr>
      <w:r w:rsidRPr="009466C9">
        <w:rPr>
          <w:rFonts w:eastAsia="Times New Roman" w:cs="Times New Roman"/>
          <w:szCs w:val="24"/>
        </w:rPr>
        <w:t>4.pielikums: Apdrošināšanas noteikumi un programma.</w:t>
      </w:r>
    </w:p>
    <w:p w:rsidR="00832734" w:rsidRPr="00832734" w:rsidRDefault="00832734" w:rsidP="00832734">
      <w:pPr>
        <w:pStyle w:val="ListParagraph"/>
        <w:numPr>
          <w:ilvl w:val="1"/>
          <w:numId w:val="34"/>
        </w:numPr>
        <w:jc w:val="both"/>
        <w:rPr>
          <w:color w:val="000000" w:themeColor="text1"/>
        </w:rPr>
      </w:pPr>
      <w:r w:rsidRPr="00832734">
        <w:rPr>
          <w:color w:val="000000" w:themeColor="text1"/>
        </w:rPr>
        <w:t xml:space="preserve">Līgums sagatavots latviešu valodā uz </w:t>
      </w:r>
      <w:r w:rsidR="005E613F">
        <w:rPr>
          <w:color w:val="000000" w:themeColor="text1"/>
        </w:rPr>
        <w:t>8</w:t>
      </w:r>
      <w:r w:rsidRPr="00832734">
        <w:rPr>
          <w:color w:val="000000" w:themeColor="text1"/>
        </w:rPr>
        <w:t xml:space="preserve"> (</w:t>
      </w:r>
      <w:r w:rsidR="005E613F">
        <w:rPr>
          <w:color w:val="000000" w:themeColor="text1"/>
        </w:rPr>
        <w:t>astoņām</w:t>
      </w:r>
      <w:r w:rsidRPr="00832734">
        <w:rPr>
          <w:color w:val="000000" w:themeColor="text1"/>
        </w:rPr>
        <w:t xml:space="preserve">) lapām, tai skaitā pielikums uz </w:t>
      </w:r>
      <w:r w:rsidR="005E613F">
        <w:rPr>
          <w:color w:val="000000" w:themeColor="text1"/>
        </w:rPr>
        <w:t>27</w:t>
      </w:r>
      <w:r w:rsidRPr="00832734">
        <w:rPr>
          <w:color w:val="000000" w:themeColor="text1"/>
        </w:rPr>
        <w:t xml:space="preserve"> (</w:t>
      </w:r>
      <w:r w:rsidR="005E613F">
        <w:rPr>
          <w:color w:val="000000" w:themeColor="text1"/>
        </w:rPr>
        <w:t xml:space="preserve">divdesmit </w:t>
      </w:r>
      <w:r w:rsidR="00175537">
        <w:rPr>
          <w:color w:val="000000" w:themeColor="text1"/>
        </w:rPr>
        <w:t>septiņām)</w:t>
      </w:r>
      <w:r w:rsidRPr="00832734">
        <w:rPr>
          <w:color w:val="000000" w:themeColor="text1"/>
        </w:rPr>
        <w:t xml:space="preserve"> lapām. Līgums parakstīts elektroniski ar drošu elektronisko parakstu, kas satur laika zīmogu. Līguma abpusējas parakstīšanas datums ir pēdējā pievienotā parakstītāja laika zīmogā norādītais datums.</w:t>
      </w:r>
    </w:p>
    <w:p w:rsidR="009466C9" w:rsidRPr="009466C9" w:rsidRDefault="009466C9" w:rsidP="009466C9">
      <w:pPr>
        <w:widowControl w:val="0"/>
        <w:jc w:val="both"/>
        <w:rPr>
          <w:rFonts w:eastAsia="Times New Roman" w:cs="Times New Roman"/>
          <w:b/>
          <w:bCs/>
          <w:szCs w:val="24"/>
          <w:lang w:eastAsia="lv-LV"/>
        </w:rPr>
      </w:pPr>
    </w:p>
    <w:p w:rsidR="009466C9" w:rsidRPr="009466C9" w:rsidRDefault="009466C9" w:rsidP="00832734">
      <w:pPr>
        <w:numPr>
          <w:ilvl w:val="0"/>
          <w:numId w:val="34"/>
        </w:numPr>
        <w:spacing w:after="120"/>
        <w:jc w:val="center"/>
        <w:rPr>
          <w:rFonts w:eastAsia="Times New Roman" w:cs="Times New Roman"/>
          <w:b/>
          <w:bCs/>
          <w:szCs w:val="24"/>
          <w:lang w:eastAsia="lv-LV"/>
        </w:rPr>
      </w:pPr>
      <w:r w:rsidRPr="009466C9">
        <w:rPr>
          <w:rFonts w:eastAsia="Times New Roman" w:cs="Times New Roman"/>
          <w:b/>
          <w:bCs/>
          <w:szCs w:val="24"/>
          <w:lang w:eastAsia="lv-LV"/>
        </w:rPr>
        <w:t>Pušu rekvizīti</w:t>
      </w:r>
    </w:p>
    <w:tbl>
      <w:tblPr>
        <w:tblW w:w="9214" w:type="dxa"/>
        <w:tblInd w:w="-34" w:type="dxa"/>
        <w:tblLook w:val="04A0" w:firstRow="1" w:lastRow="0" w:firstColumn="1" w:lastColumn="0" w:noHBand="0" w:noVBand="1"/>
      </w:tblPr>
      <w:tblGrid>
        <w:gridCol w:w="4607"/>
        <w:gridCol w:w="105"/>
        <w:gridCol w:w="4502"/>
      </w:tblGrid>
      <w:tr w:rsidR="009466C9" w:rsidRPr="009466C9" w:rsidTr="00CD23C6">
        <w:tc>
          <w:tcPr>
            <w:tcW w:w="4607" w:type="dxa"/>
            <w:shd w:val="clear" w:color="auto" w:fill="auto"/>
          </w:tcPr>
          <w:p w:rsidR="009466C9" w:rsidRPr="009466C9" w:rsidRDefault="009466C9" w:rsidP="009466C9">
            <w:pPr>
              <w:ind w:left="142" w:right="284"/>
              <w:jc w:val="center"/>
              <w:rPr>
                <w:rFonts w:eastAsia="Times New Roman" w:cs="Times New Roman"/>
                <w:b/>
                <w:szCs w:val="24"/>
                <w:lang w:eastAsia="lv-LV"/>
              </w:rPr>
            </w:pPr>
            <w:r w:rsidRPr="009466C9">
              <w:rPr>
                <w:rFonts w:eastAsia="Times New Roman" w:cs="Times New Roman"/>
                <w:b/>
                <w:bCs/>
                <w:szCs w:val="24"/>
                <w:lang w:eastAsia="lv-LV"/>
              </w:rPr>
              <w:t>APDROŠINĀJUMA ŅĒMĒJS</w:t>
            </w:r>
          </w:p>
        </w:tc>
        <w:tc>
          <w:tcPr>
            <w:tcW w:w="4607" w:type="dxa"/>
            <w:gridSpan w:val="2"/>
          </w:tcPr>
          <w:p w:rsidR="009466C9" w:rsidRPr="009466C9" w:rsidRDefault="009466C9" w:rsidP="009466C9">
            <w:pPr>
              <w:ind w:right="282"/>
              <w:jc w:val="center"/>
              <w:rPr>
                <w:rFonts w:eastAsia="Times New Roman" w:cs="Times New Roman"/>
                <w:b/>
                <w:szCs w:val="24"/>
                <w:lang w:eastAsia="lv-LV"/>
              </w:rPr>
            </w:pPr>
            <w:r w:rsidRPr="009466C9">
              <w:rPr>
                <w:rFonts w:eastAsia="Times New Roman" w:cs="Times New Roman"/>
                <w:b/>
                <w:szCs w:val="24"/>
                <w:lang w:eastAsia="lv-LV"/>
              </w:rPr>
              <w:t>APDROŠINĀTĀJS</w:t>
            </w:r>
          </w:p>
        </w:tc>
      </w:tr>
      <w:tr w:rsidR="009466C9" w:rsidRPr="009466C9" w:rsidTr="00CD23C6">
        <w:tc>
          <w:tcPr>
            <w:tcW w:w="4607" w:type="dxa"/>
            <w:shd w:val="clear" w:color="auto" w:fill="auto"/>
          </w:tcPr>
          <w:p w:rsidR="009466C9" w:rsidRPr="009466C9" w:rsidRDefault="009466C9" w:rsidP="009466C9">
            <w:pPr>
              <w:rPr>
                <w:rFonts w:eastAsia="Times New Roman" w:cs="Times New Roman"/>
                <w:sz w:val="18"/>
                <w:szCs w:val="18"/>
                <w:lang w:eastAsia="lv-LV"/>
              </w:rPr>
            </w:pPr>
          </w:p>
        </w:tc>
        <w:tc>
          <w:tcPr>
            <w:tcW w:w="4607" w:type="dxa"/>
            <w:gridSpan w:val="2"/>
          </w:tcPr>
          <w:p w:rsidR="009466C9" w:rsidRPr="009466C9" w:rsidRDefault="009466C9" w:rsidP="009466C9">
            <w:pPr>
              <w:tabs>
                <w:tab w:val="left" w:pos="3720"/>
              </w:tabs>
              <w:rPr>
                <w:rFonts w:eastAsia="Times New Roman" w:cs="Times New Roman"/>
                <w:sz w:val="18"/>
                <w:szCs w:val="18"/>
                <w:lang w:eastAsia="lv-LV"/>
              </w:rPr>
            </w:pPr>
          </w:p>
        </w:tc>
      </w:tr>
      <w:tr w:rsidR="009466C9" w:rsidRPr="009466C9" w:rsidTr="00CD23C6">
        <w:tc>
          <w:tcPr>
            <w:tcW w:w="4712" w:type="dxa"/>
            <w:gridSpan w:val="2"/>
            <w:shd w:val="clear" w:color="auto" w:fill="auto"/>
          </w:tcPr>
          <w:p w:rsidR="009466C9" w:rsidRPr="009466C9" w:rsidRDefault="009466C9" w:rsidP="009466C9">
            <w:pPr>
              <w:rPr>
                <w:sz w:val="22"/>
              </w:rPr>
            </w:pPr>
          </w:p>
        </w:tc>
        <w:tc>
          <w:tcPr>
            <w:tcW w:w="4502" w:type="dxa"/>
          </w:tcPr>
          <w:p w:rsidR="009466C9" w:rsidRPr="009466C9" w:rsidRDefault="009466C9" w:rsidP="009466C9">
            <w:pPr>
              <w:tabs>
                <w:tab w:val="left" w:pos="3720"/>
              </w:tabs>
              <w:rPr>
                <w:sz w:val="22"/>
              </w:rPr>
            </w:pPr>
          </w:p>
        </w:tc>
      </w:tr>
      <w:tr w:rsidR="009466C9" w:rsidRPr="009466C9" w:rsidTr="00CD23C6">
        <w:tc>
          <w:tcPr>
            <w:tcW w:w="4712" w:type="dxa"/>
            <w:gridSpan w:val="2"/>
            <w:shd w:val="clear" w:color="auto" w:fill="auto"/>
          </w:tcPr>
          <w:tbl>
            <w:tblPr>
              <w:tblW w:w="0" w:type="auto"/>
              <w:tblLook w:val="04A0" w:firstRow="1" w:lastRow="0" w:firstColumn="1" w:lastColumn="0" w:noHBand="0" w:noVBand="1"/>
            </w:tblPr>
            <w:tblGrid>
              <w:gridCol w:w="4201"/>
            </w:tblGrid>
            <w:tr w:rsidR="009466C9" w:rsidRPr="009466C9" w:rsidTr="00CD23C6">
              <w:trPr>
                <w:trHeight w:val="59"/>
              </w:trPr>
              <w:tc>
                <w:tcPr>
                  <w:tcW w:w="4201" w:type="dxa"/>
                </w:tcPr>
                <w:p w:rsidR="00EE68EE" w:rsidRPr="00AF1485" w:rsidRDefault="00EE68EE" w:rsidP="00EE68EE">
                  <w:pPr>
                    <w:ind w:right="566"/>
                    <w:rPr>
                      <w:b/>
                      <w:snapToGrid w:val="0"/>
                    </w:rPr>
                  </w:pPr>
                  <w:r w:rsidRPr="00AF1485">
                    <w:rPr>
                      <w:b/>
                      <w:snapToGrid w:val="0"/>
                    </w:rPr>
                    <w:t>Centrālā finanšu un līgumu aģentūra</w:t>
                  </w:r>
                </w:p>
                <w:p w:rsidR="00EE68EE" w:rsidRPr="00AF1485" w:rsidRDefault="00EE68EE" w:rsidP="00EE68EE">
                  <w:pPr>
                    <w:ind w:right="566"/>
                    <w:rPr>
                      <w:snapToGrid w:val="0"/>
                    </w:rPr>
                  </w:pPr>
                  <w:r>
                    <w:rPr>
                      <w:snapToGrid w:val="0"/>
                    </w:rPr>
                    <w:t xml:space="preserve">Smilšu iela 1, </w:t>
                  </w:r>
                  <w:r w:rsidRPr="00AF1485">
                    <w:rPr>
                      <w:snapToGrid w:val="0"/>
                    </w:rPr>
                    <w:t>Rīga, LV-1919</w:t>
                  </w:r>
                </w:p>
                <w:p w:rsidR="00EE68EE" w:rsidRPr="00AF1485" w:rsidRDefault="00E63543" w:rsidP="00EE68EE">
                  <w:pPr>
                    <w:ind w:right="566"/>
                    <w:rPr>
                      <w:snapToGrid w:val="0"/>
                    </w:rPr>
                  </w:pPr>
                  <w:r>
                    <w:rPr>
                      <w:snapToGrid w:val="0"/>
                    </w:rPr>
                    <w:t>Reģ. Nr. 9000081</w:t>
                  </w:r>
                  <w:r w:rsidR="00EE68EE" w:rsidRPr="00AF1485">
                    <w:rPr>
                      <w:snapToGrid w:val="0"/>
                    </w:rPr>
                    <w:t>2928</w:t>
                  </w:r>
                </w:p>
                <w:p w:rsidR="00EE68EE" w:rsidRPr="00AF1485" w:rsidRDefault="00EE68EE" w:rsidP="00EE68EE">
                  <w:pPr>
                    <w:ind w:right="566"/>
                    <w:rPr>
                      <w:snapToGrid w:val="0"/>
                    </w:rPr>
                  </w:pPr>
                  <w:r w:rsidRPr="00AF1485">
                    <w:rPr>
                      <w:snapToGrid w:val="0"/>
                    </w:rPr>
                    <w:t>Valsts kase</w:t>
                  </w:r>
                </w:p>
                <w:p w:rsidR="00EE68EE" w:rsidRPr="00AF1485" w:rsidRDefault="00EE68EE" w:rsidP="00EE68EE">
                  <w:pPr>
                    <w:ind w:right="566"/>
                    <w:rPr>
                      <w:snapToGrid w:val="0"/>
                    </w:rPr>
                  </w:pPr>
                  <w:r w:rsidRPr="00AF1485">
                    <w:rPr>
                      <w:snapToGrid w:val="0"/>
                    </w:rPr>
                    <w:t>Kods: TRELLV22</w:t>
                  </w:r>
                </w:p>
                <w:p w:rsidR="00EE68EE" w:rsidRPr="00A05184" w:rsidRDefault="00EE68EE" w:rsidP="00EE68EE">
                  <w:pPr>
                    <w:ind w:right="566"/>
                    <w:rPr>
                      <w:snapToGrid w:val="0"/>
                    </w:rPr>
                  </w:pPr>
                  <w:r w:rsidRPr="00AF1485">
                    <w:rPr>
                      <w:snapToGrid w:val="0"/>
                    </w:rPr>
                    <w:t xml:space="preserve">Konta Nr.: </w:t>
                  </w:r>
                  <w:r w:rsidRPr="00A05184">
                    <w:rPr>
                      <w:snapToGrid w:val="0"/>
                    </w:rPr>
                    <w:t>LV04TREL2130052015000;</w:t>
                  </w:r>
                </w:p>
                <w:p w:rsidR="00EE68EE" w:rsidRPr="00A05184" w:rsidRDefault="00EE68EE" w:rsidP="00EE68EE">
                  <w:pPr>
                    <w:ind w:right="566"/>
                    <w:rPr>
                      <w:snapToGrid w:val="0"/>
                    </w:rPr>
                  </w:pPr>
                  <w:r w:rsidRPr="00A05184">
                    <w:rPr>
                      <w:snapToGrid w:val="0"/>
                    </w:rPr>
                    <w:t>LV10TREL213005207700B</w:t>
                  </w:r>
                </w:p>
                <w:p w:rsidR="00EE68EE" w:rsidRPr="00A05184" w:rsidRDefault="00EE68EE" w:rsidP="00EE68EE">
                  <w:pPr>
                    <w:ind w:right="566"/>
                    <w:rPr>
                      <w:snapToGrid w:val="0"/>
                    </w:rPr>
                  </w:pPr>
                  <w:r w:rsidRPr="00A05184">
                    <w:rPr>
                      <w:snapToGrid w:val="0"/>
                    </w:rPr>
                    <w:t>LV59TREL213005207600B</w:t>
                  </w:r>
                </w:p>
                <w:p w:rsidR="00EE68EE" w:rsidRPr="00A05184" w:rsidRDefault="00EE68EE" w:rsidP="00EE68EE">
                  <w:pPr>
                    <w:ind w:right="566"/>
                    <w:rPr>
                      <w:snapToGrid w:val="0"/>
                    </w:rPr>
                  </w:pPr>
                  <w:r w:rsidRPr="00A05184">
                    <w:rPr>
                      <w:snapToGrid w:val="0"/>
                    </w:rPr>
                    <w:t>LV58TREL213005207800B</w:t>
                  </w:r>
                </w:p>
                <w:p w:rsidR="00EE68EE" w:rsidRPr="00AF1485" w:rsidRDefault="00EE68EE" w:rsidP="00EE68EE">
                  <w:pPr>
                    <w:ind w:right="566"/>
                    <w:rPr>
                      <w:snapToGrid w:val="0"/>
                    </w:rPr>
                  </w:pPr>
                </w:p>
                <w:p w:rsidR="009466C9" w:rsidRPr="009466C9" w:rsidRDefault="009466C9" w:rsidP="009466C9">
                  <w:pPr>
                    <w:widowControl w:val="0"/>
                    <w:suppressAutoHyphens/>
                    <w:autoSpaceDE w:val="0"/>
                    <w:autoSpaceDN w:val="0"/>
                    <w:adjustRightInd w:val="0"/>
                    <w:rPr>
                      <w:b/>
                      <w:kern w:val="24"/>
                      <w:sz w:val="22"/>
                    </w:rPr>
                  </w:pPr>
                </w:p>
              </w:tc>
            </w:tr>
            <w:tr w:rsidR="009466C9" w:rsidRPr="009466C9" w:rsidTr="00CD23C6">
              <w:trPr>
                <w:trHeight w:val="721"/>
              </w:trPr>
              <w:tc>
                <w:tcPr>
                  <w:tcW w:w="4201" w:type="dxa"/>
                </w:tcPr>
                <w:p w:rsidR="009466C9" w:rsidRPr="009466C9" w:rsidRDefault="009466C9" w:rsidP="009466C9">
                  <w:pPr>
                    <w:widowControl w:val="0"/>
                    <w:pBdr>
                      <w:bottom w:val="single" w:sz="12" w:space="1" w:color="auto"/>
                    </w:pBdr>
                    <w:suppressAutoHyphens/>
                    <w:autoSpaceDE w:val="0"/>
                    <w:autoSpaceDN w:val="0"/>
                    <w:adjustRightInd w:val="0"/>
                    <w:jc w:val="both"/>
                    <w:rPr>
                      <w:rFonts w:eastAsia="Calibri"/>
                      <w:kern w:val="24"/>
                    </w:rPr>
                  </w:pPr>
                </w:p>
                <w:p w:rsidR="009466C9" w:rsidRDefault="009466C9" w:rsidP="00EE68EE">
                  <w:pPr>
                    <w:widowControl w:val="0"/>
                    <w:suppressAutoHyphens/>
                    <w:autoSpaceDE w:val="0"/>
                    <w:autoSpaceDN w:val="0"/>
                    <w:adjustRightInd w:val="0"/>
                    <w:rPr>
                      <w:kern w:val="24"/>
                    </w:rPr>
                  </w:pPr>
                  <w:r w:rsidRPr="009466C9">
                    <w:rPr>
                      <w:kern w:val="24"/>
                    </w:rPr>
                    <w:t xml:space="preserve">                   /</w:t>
                  </w:r>
                  <w:r w:rsidR="00EE68EE">
                    <w:rPr>
                      <w:kern w:val="24"/>
                    </w:rPr>
                    <w:t>M.Brencis</w:t>
                  </w:r>
                  <w:r w:rsidRPr="009466C9">
                    <w:rPr>
                      <w:kern w:val="24"/>
                    </w:rPr>
                    <w:t>/</w:t>
                  </w:r>
                </w:p>
                <w:p w:rsidR="00EE68EE" w:rsidRPr="009466C9" w:rsidRDefault="00EE68EE" w:rsidP="00EE68EE">
                  <w:pPr>
                    <w:widowControl w:val="0"/>
                    <w:suppressAutoHyphens/>
                    <w:autoSpaceDE w:val="0"/>
                    <w:autoSpaceDN w:val="0"/>
                    <w:adjustRightInd w:val="0"/>
                    <w:rPr>
                      <w:b/>
                      <w:kern w:val="24"/>
                    </w:rPr>
                  </w:pPr>
                </w:p>
              </w:tc>
            </w:tr>
          </w:tbl>
          <w:p w:rsidR="009466C9" w:rsidRPr="009466C9" w:rsidRDefault="009466C9" w:rsidP="009466C9">
            <w:pPr>
              <w:ind w:left="34" w:right="282"/>
              <w:rPr>
                <w:rFonts w:eastAsia="Calibri"/>
                <w:kern w:val="24"/>
                <w:sz w:val="22"/>
              </w:rPr>
            </w:pPr>
          </w:p>
          <w:p w:rsidR="009466C9" w:rsidRPr="009466C9" w:rsidRDefault="009466C9" w:rsidP="009466C9">
            <w:pPr>
              <w:ind w:left="34" w:right="282"/>
              <w:rPr>
                <w:sz w:val="22"/>
                <w:u w:val="single"/>
              </w:rPr>
            </w:pPr>
          </w:p>
        </w:tc>
        <w:tc>
          <w:tcPr>
            <w:tcW w:w="4502" w:type="dxa"/>
          </w:tcPr>
          <w:p w:rsidR="009466C9" w:rsidRPr="009466C9" w:rsidRDefault="009466C9" w:rsidP="009466C9">
            <w:pPr>
              <w:widowControl w:val="0"/>
              <w:suppressAutoHyphens/>
              <w:autoSpaceDE w:val="0"/>
              <w:autoSpaceDN w:val="0"/>
              <w:adjustRightInd w:val="0"/>
              <w:rPr>
                <w:rFonts w:eastAsia="Calibri" w:cs="Times New Roman"/>
                <w:sz w:val="22"/>
              </w:rPr>
            </w:pPr>
            <w:r w:rsidRPr="009466C9">
              <w:rPr>
                <w:rFonts w:eastAsia="Times New Roman" w:cs="Times New Roman"/>
                <w:b/>
                <w:szCs w:val="24"/>
                <w:lang w:eastAsia="lv-LV"/>
              </w:rPr>
              <w:t>Compensa Life Vienna Insurance Group SE Latvijas filiāle</w:t>
            </w:r>
            <w:r w:rsidRPr="009466C9">
              <w:rPr>
                <w:rFonts w:eastAsia="Calibri" w:cs="Times New Roman"/>
                <w:sz w:val="22"/>
              </w:rPr>
              <w:t xml:space="preserve"> </w:t>
            </w:r>
          </w:p>
          <w:p w:rsidR="009466C9" w:rsidRPr="009466C9" w:rsidRDefault="009466C9" w:rsidP="009466C9">
            <w:pPr>
              <w:widowControl w:val="0"/>
              <w:suppressAutoHyphens/>
              <w:autoSpaceDE w:val="0"/>
              <w:autoSpaceDN w:val="0"/>
              <w:adjustRightInd w:val="0"/>
              <w:rPr>
                <w:kern w:val="24"/>
                <w:sz w:val="22"/>
              </w:rPr>
            </w:pPr>
            <w:r w:rsidRPr="009466C9">
              <w:rPr>
                <w:sz w:val="22"/>
              </w:rPr>
              <w:t>Vienības gatve 87h, Rīga, LV-1004</w:t>
            </w:r>
          </w:p>
          <w:p w:rsidR="009466C9" w:rsidRPr="009466C9" w:rsidRDefault="009466C9" w:rsidP="009466C9">
            <w:pPr>
              <w:widowControl w:val="0"/>
              <w:suppressAutoHyphens/>
              <w:autoSpaceDE w:val="0"/>
              <w:autoSpaceDN w:val="0"/>
              <w:adjustRightInd w:val="0"/>
              <w:rPr>
                <w:sz w:val="22"/>
              </w:rPr>
            </w:pPr>
            <w:r w:rsidRPr="009466C9">
              <w:rPr>
                <w:kern w:val="24"/>
                <w:sz w:val="22"/>
              </w:rPr>
              <w:t>Reģ. Nr.</w:t>
            </w:r>
            <w:r w:rsidRPr="009466C9">
              <w:rPr>
                <w:sz w:val="22"/>
              </w:rPr>
              <w:t xml:space="preserve"> 50003958651</w:t>
            </w:r>
          </w:p>
          <w:p w:rsidR="009466C9" w:rsidRPr="009466C9" w:rsidRDefault="009466C9" w:rsidP="009466C9">
            <w:pPr>
              <w:widowControl w:val="0"/>
              <w:suppressAutoHyphens/>
              <w:autoSpaceDE w:val="0"/>
              <w:autoSpaceDN w:val="0"/>
              <w:adjustRightInd w:val="0"/>
              <w:rPr>
                <w:sz w:val="22"/>
              </w:rPr>
            </w:pPr>
            <w:r w:rsidRPr="009466C9">
              <w:rPr>
                <w:sz w:val="22"/>
              </w:rPr>
              <w:t>Banka:</w:t>
            </w:r>
          </w:p>
          <w:p w:rsidR="009466C9" w:rsidRPr="009466C9" w:rsidRDefault="009466C9" w:rsidP="009466C9">
            <w:pPr>
              <w:widowControl w:val="0"/>
              <w:overflowPunct w:val="0"/>
              <w:autoSpaceDE w:val="0"/>
              <w:autoSpaceDN w:val="0"/>
              <w:adjustRightInd w:val="0"/>
              <w:rPr>
                <w:rFonts w:eastAsia="Times New Roman" w:cs="Times New Roman"/>
                <w:kern w:val="28"/>
                <w:szCs w:val="24"/>
                <w:lang w:eastAsia="lv-LV"/>
              </w:rPr>
            </w:pPr>
            <w:r w:rsidRPr="009466C9">
              <w:rPr>
                <w:rFonts w:eastAsia="Times New Roman" w:cs="Times New Roman"/>
                <w:kern w:val="28"/>
                <w:szCs w:val="24"/>
                <w:lang w:eastAsia="lv-LV"/>
              </w:rPr>
              <w:t xml:space="preserve">Kods: </w:t>
            </w:r>
            <w:r w:rsidRPr="009466C9">
              <w:rPr>
                <w:rFonts w:cs="Times New Roman"/>
                <w:spacing w:val="1"/>
                <w:szCs w:val="24"/>
              </w:rPr>
              <w:t>HABALV22</w:t>
            </w:r>
          </w:p>
          <w:p w:rsidR="009466C9" w:rsidRPr="009466C9" w:rsidRDefault="009466C9" w:rsidP="009466C9">
            <w:pPr>
              <w:widowControl w:val="0"/>
              <w:suppressAutoHyphens/>
              <w:autoSpaceDE w:val="0"/>
              <w:autoSpaceDN w:val="0"/>
              <w:adjustRightInd w:val="0"/>
              <w:rPr>
                <w:rFonts w:cs="Times New Roman"/>
                <w:szCs w:val="24"/>
              </w:rPr>
            </w:pPr>
            <w:r w:rsidRPr="009466C9">
              <w:rPr>
                <w:rFonts w:cs="Times New Roman"/>
                <w:szCs w:val="24"/>
              </w:rPr>
              <w:t xml:space="preserve">Konts: </w:t>
            </w:r>
            <w:r w:rsidRPr="009466C9">
              <w:rPr>
                <w:rFonts w:cs="Times New Roman"/>
                <w:spacing w:val="1"/>
                <w:szCs w:val="24"/>
              </w:rPr>
              <w:t>LV77HABA0001403052234</w:t>
            </w:r>
          </w:p>
          <w:p w:rsidR="009466C9" w:rsidRPr="009466C9" w:rsidRDefault="009466C9" w:rsidP="009466C9">
            <w:pPr>
              <w:widowControl w:val="0"/>
              <w:suppressAutoHyphens/>
              <w:autoSpaceDE w:val="0"/>
              <w:autoSpaceDN w:val="0"/>
              <w:adjustRightInd w:val="0"/>
              <w:rPr>
                <w:rFonts w:eastAsia="Calibri" w:cs="Times New Roman"/>
                <w:kern w:val="24"/>
                <w:sz w:val="22"/>
                <w:u w:val="single"/>
              </w:rPr>
            </w:pPr>
          </w:p>
          <w:p w:rsidR="009466C9" w:rsidRPr="009466C9" w:rsidRDefault="009466C9" w:rsidP="009466C9">
            <w:pPr>
              <w:widowControl w:val="0"/>
              <w:suppressAutoHyphens/>
              <w:autoSpaceDE w:val="0"/>
              <w:autoSpaceDN w:val="0"/>
              <w:adjustRightInd w:val="0"/>
              <w:rPr>
                <w:rFonts w:eastAsia="Calibri" w:cs="Times New Roman"/>
                <w:kern w:val="24"/>
                <w:sz w:val="22"/>
                <w:u w:val="single"/>
              </w:rPr>
            </w:pPr>
          </w:p>
          <w:p w:rsidR="00AE792C" w:rsidRDefault="00AE792C" w:rsidP="009466C9">
            <w:pPr>
              <w:widowControl w:val="0"/>
              <w:suppressAutoHyphens/>
              <w:autoSpaceDE w:val="0"/>
              <w:autoSpaceDN w:val="0"/>
              <w:adjustRightInd w:val="0"/>
              <w:rPr>
                <w:rFonts w:eastAsia="Calibri" w:cs="Times New Roman"/>
                <w:kern w:val="24"/>
                <w:sz w:val="22"/>
                <w:u w:val="single"/>
              </w:rPr>
            </w:pPr>
          </w:p>
          <w:p w:rsidR="00AE792C" w:rsidRDefault="00AE792C" w:rsidP="009466C9">
            <w:pPr>
              <w:widowControl w:val="0"/>
              <w:suppressAutoHyphens/>
              <w:autoSpaceDE w:val="0"/>
              <w:autoSpaceDN w:val="0"/>
              <w:adjustRightInd w:val="0"/>
              <w:rPr>
                <w:rFonts w:eastAsia="Calibri" w:cs="Times New Roman"/>
                <w:kern w:val="24"/>
                <w:sz w:val="22"/>
                <w:u w:val="single"/>
              </w:rPr>
            </w:pPr>
          </w:p>
          <w:p w:rsidR="00AE792C" w:rsidRDefault="00AE792C" w:rsidP="009466C9">
            <w:pPr>
              <w:widowControl w:val="0"/>
              <w:suppressAutoHyphens/>
              <w:autoSpaceDE w:val="0"/>
              <w:autoSpaceDN w:val="0"/>
              <w:adjustRightInd w:val="0"/>
              <w:rPr>
                <w:rFonts w:eastAsia="Calibri" w:cs="Times New Roman"/>
                <w:kern w:val="24"/>
                <w:sz w:val="22"/>
                <w:u w:val="single"/>
              </w:rPr>
            </w:pPr>
          </w:p>
          <w:p w:rsidR="009466C9" w:rsidRPr="00AE792C" w:rsidRDefault="009466C9" w:rsidP="009466C9">
            <w:pPr>
              <w:widowControl w:val="0"/>
              <w:suppressAutoHyphens/>
              <w:autoSpaceDE w:val="0"/>
              <w:autoSpaceDN w:val="0"/>
              <w:adjustRightInd w:val="0"/>
              <w:rPr>
                <w:rFonts w:eastAsia="Calibri" w:cs="Times New Roman"/>
                <w:b/>
                <w:kern w:val="24"/>
                <w:sz w:val="22"/>
                <w:u w:val="single"/>
              </w:rPr>
            </w:pPr>
            <w:r w:rsidRPr="00AE792C">
              <w:rPr>
                <w:rFonts w:eastAsia="Calibri" w:cs="Times New Roman"/>
                <w:b/>
                <w:kern w:val="24"/>
                <w:sz w:val="22"/>
                <w:u w:val="single"/>
              </w:rPr>
              <w:t>__________________________________</w:t>
            </w:r>
          </w:p>
          <w:tbl>
            <w:tblPr>
              <w:tblW w:w="0" w:type="auto"/>
              <w:tblLook w:val="04A0" w:firstRow="1" w:lastRow="0" w:firstColumn="1" w:lastColumn="0" w:noHBand="0" w:noVBand="1"/>
            </w:tblPr>
            <w:tblGrid>
              <w:gridCol w:w="3866"/>
            </w:tblGrid>
            <w:tr w:rsidR="009466C9" w:rsidRPr="009466C9" w:rsidTr="00CD23C6">
              <w:trPr>
                <w:trHeight w:val="721"/>
              </w:trPr>
              <w:tc>
                <w:tcPr>
                  <w:tcW w:w="3866" w:type="dxa"/>
                </w:tcPr>
                <w:p w:rsidR="009466C9" w:rsidRPr="009466C9" w:rsidRDefault="009466C9" w:rsidP="009466C9">
                  <w:pPr>
                    <w:ind w:left="1980" w:hanging="1634"/>
                    <w:jc w:val="center"/>
                  </w:pPr>
                  <w:r w:rsidRPr="009466C9">
                    <w:t>/V. Gustsons/</w:t>
                  </w:r>
                </w:p>
                <w:p w:rsidR="009466C9" w:rsidRPr="009466C9" w:rsidRDefault="009466C9" w:rsidP="009466C9"/>
              </w:tc>
            </w:tr>
            <w:tr w:rsidR="009466C9" w:rsidRPr="009466C9" w:rsidTr="00CD23C6">
              <w:tc>
                <w:tcPr>
                  <w:tcW w:w="3866" w:type="dxa"/>
                </w:tcPr>
                <w:p w:rsidR="009466C9" w:rsidRPr="009466C9" w:rsidRDefault="009466C9" w:rsidP="00AE792C">
                  <w:pPr>
                    <w:widowControl w:val="0"/>
                    <w:suppressAutoHyphens/>
                    <w:autoSpaceDE w:val="0"/>
                    <w:autoSpaceDN w:val="0"/>
                    <w:adjustRightInd w:val="0"/>
                    <w:rPr>
                      <w:rFonts w:eastAsia="Calibri" w:cs="Times New Roman"/>
                      <w:bCs/>
                      <w:kern w:val="24"/>
                      <w:sz w:val="22"/>
                    </w:rPr>
                  </w:pPr>
                </w:p>
              </w:tc>
            </w:tr>
          </w:tbl>
          <w:p w:rsidR="009466C9" w:rsidRPr="009466C9" w:rsidRDefault="009466C9" w:rsidP="009466C9">
            <w:pPr>
              <w:ind w:right="282"/>
              <w:rPr>
                <w:sz w:val="22"/>
              </w:rPr>
            </w:pPr>
          </w:p>
        </w:tc>
      </w:tr>
    </w:tbl>
    <w:p w:rsidR="009466C9" w:rsidRDefault="009466C9" w:rsidP="009466C9">
      <w:pPr>
        <w:jc w:val="both"/>
        <w:rPr>
          <w:rFonts w:eastAsia="Times New Roman" w:cs="Times New Roman"/>
          <w:sz w:val="20"/>
          <w:szCs w:val="20"/>
          <w:lang w:eastAsia="lv-LV"/>
        </w:rPr>
      </w:pPr>
    </w:p>
    <w:p w:rsidR="002605B3" w:rsidRDefault="002605B3" w:rsidP="009466C9">
      <w:pPr>
        <w:jc w:val="both"/>
        <w:rPr>
          <w:rFonts w:eastAsia="Times New Roman" w:cs="Times New Roman"/>
          <w:sz w:val="20"/>
          <w:szCs w:val="20"/>
          <w:lang w:eastAsia="lv-LV"/>
        </w:rPr>
      </w:pPr>
    </w:p>
    <w:p w:rsidR="00EE68EE" w:rsidRPr="009466C9" w:rsidRDefault="00EE68EE" w:rsidP="009466C9">
      <w:pPr>
        <w:jc w:val="both"/>
        <w:rPr>
          <w:rFonts w:eastAsia="Times New Roman" w:cs="Times New Roman"/>
          <w:sz w:val="20"/>
          <w:szCs w:val="20"/>
          <w:lang w:eastAsia="lv-LV"/>
        </w:rPr>
      </w:pPr>
    </w:p>
    <w:tbl>
      <w:tblPr>
        <w:tblW w:w="0" w:type="auto"/>
        <w:tblLook w:val="04A0" w:firstRow="1" w:lastRow="0" w:firstColumn="1" w:lastColumn="0" w:noHBand="0" w:noVBand="1"/>
      </w:tblPr>
      <w:tblGrid>
        <w:gridCol w:w="4201"/>
      </w:tblGrid>
      <w:tr w:rsidR="00EE68EE" w:rsidRPr="009466C9" w:rsidTr="00E35B28">
        <w:trPr>
          <w:trHeight w:val="721"/>
        </w:trPr>
        <w:tc>
          <w:tcPr>
            <w:tcW w:w="4201" w:type="dxa"/>
          </w:tcPr>
          <w:p w:rsidR="00EE68EE" w:rsidRPr="009466C9" w:rsidRDefault="00EE68EE" w:rsidP="00E35B28">
            <w:pPr>
              <w:widowControl w:val="0"/>
              <w:pBdr>
                <w:bottom w:val="single" w:sz="12" w:space="1" w:color="auto"/>
              </w:pBdr>
              <w:suppressAutoHyphens/>
              <w:autoSpaceDE w:val="0"/>
              <w:autoSpaceDN w:val="0"/>
              <w:adjustRightInd w:val="0"/>
              <w:jc w:val="both"/>
              <w:rPr>
                <w:rFonts w:eastAsia="Calibri"/>
                <w:kern w:val="24"/>
              </w:rPr>
            </w:pPr>
          </w:p>
          <w:p w:rsidR="00EE68EE" w:rsidRDefault="00EE68EE" w:rsidP="00E35B28">
            <w:pPr>
              <w:widowControl w:val="0"/>
              <w:suppressAutoHyphens/>
              <w:autoSpaceDE w:val="0"/>
              <w:autoSpaceDN w:val="0"/>
              <w:adjustRightInd w:val="0"/>
              <w:rPr>
                <w:kern w:val="24"/>
              </w:rPr>
            </w:pPr>
            <w:r w:rsidRPr="009466C9">
              <w:rPr>
                <w:kern w:val="24"/>
              </w:rPr>
              <w:t xml:space="preserve">                   /</w:t>
            </w:r>
            <w:r>
              <w:rPr>
                <w:kern w:val="24"/>
              </w:rPr>
              <w:t>A.Ozola</w:t>
            </w:r>
            <w:r w:rsidRPr="009466C9">
              <w:rPr>
                <w:kern w:val="24"/>
              </w:rPr>
              <w:t>/</w:t>
            </w:r>
          </w:p>
          <w:p w:rsidR="00EE68EE" w:rsidRPr="009466C9" w:rsidRDefault="00EE68EE" w:rsidP="00E35B28">
            <w:pPr>
              <w:widowControl w:val="0"/>
              <w:suppressAutoHyphens/>
              <w:autoSpaceDE w:val="0"/>
              <w:autoSpaceDN w:val="0"/>
              <w:adjustRightInd w:val="0"/>
              <w:rPr>
                <w:b/>
                <w:kern w:val="24"/>
              </w:rPr>
            </w:pPr>
          </w:p>
        </w:tc>
      </w:tr>
    </w:tbl>
    <w:p w:rsidR="00EE68EE" w:rsidRPr="009466C9" w:rsidRDefault="00EE68EE" w:rsidP="00EE68EE">
      <w:pPr>
        <w:ind w:left="34" w:right="282"/>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Pr="00D1027B" w:rsidRDefault="00820578" w:rsidP="00820578">
      <w:pPr>
        <w:jc w:val="both"/>
        <w:rPr>
          <w:bCs/>
          <w:color w:val="000000" w:themeColor="text1"/>
          <w:sz w:val="18"/>
          <w:szCs w:val="18"/>
          <w:lang w:eastAsia="lv-LV"/>
        </w:rPr>
      </w:pPr>
      <w:r w:rsidRPr="00D1027B">
        <w:rPr>
          <w:bCs/>
          <w:color w:val="000000" w:themeColor="text1"/>
          <w:sz w:val="18"/>
          <w:szCs w:val="18"/>
          <w:lang w:eastAsia="lv-LV"/>
        </w:rPr>
        <w:t>DOKUMENTS PARAKSTĪTS ELEKTRONISKI AR DRO</w:t>
      </w:r>
      <w:r>
        <w:rPr>
          <w:bCs/>
          <w:color w:val="000000" w:themeColor="text1"/>
          <w:sz w:val="18"/>
          <w:szCs w:val="18"/>
          <w:lang w:eastAsia="lv-LV"/>
        </w:rPr>
        <w:t>Š</w:t>
      </w:r>
      <w:r w:rsidRPr="00D1027B">
        <w:rPr>
          <w:bCs/>
          <w:color w:val="000000" w:themeColor="text1"/>
          <w:sz w:val="18"/>
          <w:szCs w:val="18"/>
          <w:lang w:eastAsia="lv-LV"/>
        </w:rPr>
        <w:t>U ELEKTRONISKO PARAKSTU UN SATUR LAIKA ZĪMOGU</w:t>
      </w:r>
    </w:p>
    <w:p w:rsidR="00820578" w:rsidRDefault="00820578" w:rsidP="00EE68EE">
      <w:pPr>
        <w:jc w:val="both"/>
        <w:rPr>
          <w:rFonts w:eastAsia="Calibri"/>
          <w:kern w:val="24"/>
          <w:sz w:val="22"/>
        </w:rPr>
      </w:pPr>
    </w:p>
    <w:p w:rsidR="00820578" w:rsidRDefault="00820578" w:rsidP="00EE68EE">
      <w:pPr>
        <w:jc w:val="both"/>
        <w:rPr>
          <w:rFonts w:eastAsia="Calibri"/>
          <w:kern w:val="24"/>
          <w:sz w:val="22"/>
        </w:rPr>
      </w:pPr>
    </w:p>
    <w:p w:rsidR="00820578" w:rsidRPr="009466C9" w:rsidRDefault="00820578" w:rsidP="00EE68EE">
      <w:pPr>
        <w:jc w:val="both"/>
        <w:rPr>
          <w:rFonts w:eastAsia="Times New Roman" w:cs="Times New Roman"/>
          <w:sz w:val="20"/>
          <w:szCs w:val="20"/>
          <w:lang w:eastAsia="lv-LV"/>
        </w:rPr>
      </w:pPr>
      <w:bookmarkStart w:id="0" w:name="_GoBack"/>
      <w:bookmarkEnd w:id="0"/>
    </w:p>
    <w:sectPr w:rsidR="00820578" w:rsidRPr="009466C9" w:rsidSect="008B3528">
      <w:footerReference w:type="default" r:id="rId8"/>
      <w:pgSz w:w="11906" w:h="16838" w:code="9"/>
      <w:pgMar w:top="544" w:right="1274" w:bottom="851" w:left="1418" w:header="635" w:footer="37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6C9" w:rsidRDefault="009466C9" w:rsidP="009466C9">
      <w:r>
        <w:separator/>
      </w:r>
    </w:p>
  </w:endnote>
  <w:endnote w:type="continuationSeparator" w:id="0">
    <w:p w:rsidR="009466C9" w:rsidRDefault="009466C9" w:rsidP="0094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BA"/>
    <w:family w:val="roman"/>
    <w:pitch w:val="variable"/>
    <w:sig w:usb0="00000287" w:usb1="00000000" w:usb2="00000000" w:usb3="00000000" w:csb0="0000009F" w:csb1="00000000"/>
  </w:font>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Helvetica">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7F2" w:rsidRDefault="002605B3">
    <w:pPr>
      <w:pStyle w:val="Footer"/>
      <w:jc w:val="right"/>
    </w:pPr>
    <w:r>
      <w:fldChar w:fldCharType="begin"/>
    </w:r>
    <w:r>
      <w:instrText xml:space="preserve"> PAGE   \* MERGEFORMAT </w:instrText>
    </w:r>
    <w:r>
      <w:fldChar w:fldCharType="separate"/>
    </w:r>
    <w:r w:rsidR="008B3528">
      <w:rPr>
        <w:noProof/>
      </w:rPr>
      <w:t>8</w:t>
    </w:r>
    <w:r>
      <w:rPr>
        <w:noProof/>
      </w:rPr>
      <w:fldChar w:fldCharType="end"/>
    </w:r>
  </w:p>
  <w:p w:rsidR="00A727F2" w:rsidRDefault="008B3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6C9" w:rsidRDefault="009466C9" w:rsidP="009466C9">
      <w:r>
        <w:separator/>
      </w:r>
    </w:p>
  </w:footnote>
  <w:footnote w:type="continuationSeparator" w:id="0">
    <w:p w:rsidR="009466C9" w:rsidRDefault="009466C9" w:rsidP="009466C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B339A"/>
    <w:multiLevelType w:val="hybridMultilevel"/>
    <w:tmpl w:val="8076CFCC"/>
    <w:lvl w:ilvl="0" w:tplc="0BA05FD6">
      <w:start w:val="3"/>
      <w:numFmt w:val="bullet"/>
      <w:lvlText w:val="-"/>
      <w:lvlJc w:val="left"/>
      <w:pPr>
        <w:ind w:left="720" w:hanging="360"/>
      </w:pPr>
      <w:rPr>
        <w:rFonts w:ascii="Garamond" w:eastAsia="Times New Roman" w:hAnsi="Garamond"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FEA457C"/>
    <w:multiLevelType w:val="multilevel"/>
    <w:tmpl w:val="CDDE60D0"/>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 w15:restartNumberingAfterBreak="0">
    <w:nsid w:val="10FB1246"/>
    <w:multiLevelType w:val="hybridMultilevel"/>
    <w:tmpl w:val="5DEC95DC"/>
    <w:lvl w:ilvl="0" w:tplc="0BA05FD6">
      <w:start w:val="3"/>
      <w:numFmt w:val="bullet"/>
      <w:lvlText w:val="-"/>
      <w:lvlJc w:val="left"/>
      <w:pPr>
        <w:ind w:left="720" w:hanging="360"/>
      </w:pPr>
      <w:rPr>
        <w:rFonts w:ascii="Garamond" w:eastAsia="Times New Roman" w:hAnsi="Garamond"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3A00233"/>
    <w:multiLevelType w:val="hybridMultilevel"/>
    <w:tmpl w:val="9EA222D0"/>
    <w:lvl w:ilvl="0" w:tplc="D2C0A096">
      <w:start w:val="3"/>
      <w:numFmt w:val="bullet"/>
      <w:lvlText w:val="-"/>
      <w:lvlJc w:val="left"/>
      <w:pPr>
        <w:tabs>
          <w:tab w:val="num" w:pos="-446"/>
        </w:tabs>
        <w:ind w:left="-446" w:hanging="360"/>
      </w:pPr>
      <w:rPr>
        <w:rFonts w:ascii="Garamond" w:eastAsia="Times New Roman" w:hAnsi="Garamond" w:cs="Times New Roman" w:hint="default"/>
        <w:color w:val="auto"/>
      </w:rPr>
    </w:lvl>
    <w:lvl w:ilvl="1" w:tplc="04260003">
      <w:start w:val="1"/>
      <w:numFmt w:val="bullet"/>
      <w:lvlText w:val="o"/>
      <w:lvlJc w:val="left"/>
      <w:pPr>
        <w:tabs>
          <w:tab w:val="num" w:pos="180"/>
        </w:tabs>
        <w:ind w:left="180" w:hanging="360"/>
      </w:pPr>
      <w:rPr>
        <w:rFonts w:ascii="Courier New" w:hAnsi="Courier New" w:cs="Times New Roman" w:hint="default"/>
      </w:rPr>
    </w:lvl>
    <w:lvl w:ilvl="2" w:tplc="04260005">
      <w:start w:val="1"/>
      <w:numFmt w:val="bullet"/>
      <w:lvlText w:val=""/>
      <w:lvlJc w:val="left"/>
      <w:pPr>
        <w:tabs>
          <w:tab w:val="num" w:pos="900"/>
        </w:tabs>
        <w:ind w:left="900" w:hanging="360"/>
      </w:pPr>
      <w:rPr>
        <w:rFonts w:ascii="Wingdings" w:hAnsi="Wingdings" w:hint="default"/>
      </w:rPr>
    </w:lvl>
    <w:lvl w:ilvl="3" w:tplc="04260001">
      <w:start w:val="1"/>
      <w:numFmt w:val="bullet"/>
      <w:lvlText w:val=""/>
      <w:lvlJc w:val="left"/>
      <w:pPr>
        <w:tabs>
          <w:tab w:val="num" w:pos="1620"/>
        </w:tabs>
        <w:ind w:left="1620" w:hanging="360"/>
      </w:pPr>
      <w:rPr>
        <w:rFonts w:ascii="Symbol" w:hAnsi="Symbol" w:hint="default"/>
      </w:rPr>
    </w:lvl>
    <w:lvl w:ilvl="4" w:tplc="04260003">
      <w:start w:val="1"/>
      <w:numFmt w:val="bullet"/>
      <w:lvlText w:val="o"/>
      <w:lvlJc w:val="left"/>
      <w:pPr>
        <w:tabs>
          <w:tab w:val="num" w:pos="2340"/>
        </w:tabs>
        <w:ind w:left="2340" w:hanging="360"/>
      </w:pPr>
      <w:rPr>
        <w:rFonts w:ascii="Courier New" w:hAnsi="Courier New" w:cs="Times New Roman" w:hint="default"/>
      </w:rPr>
    </w:lvl>
    <w:lvl w:ilvl="5" w:tplc="04260005">
      <w:start w:val="1"/>
      <w:numFmt w:val="bullet"/>
      <w:lvlText w:val=""/>
      <w:lvlJc w:val="left"/>
      <w:pPr>
        <w:tabs>
          <w:tab w:val="num" w:pos="3060"/>
        </w:tabs>
        <w:ind w:left="3060" w:hanging="360"/>
      </w:pPr>
      <w:rPr>
        <w:rFonts w:ascii="Wingdings" w:hAnsi="Wingdings" w:hint="default"/>
      </w:rPr>
    </w:lvl>
    <w:lvl w:ilvl="6" w:tplc="04260001">
      <w:start w:val="1"/>
      <w:numFmt w:val="bullet"/>
      <w:lvlText w:val=""/>
      <w:lvlJc w:val="left"/>
      <w:pPr>
        <w:tabs>
          <w:tab w:val="num" w:pos="3780"/>
        </w:tabs>
        <w:ind w:left="3780" w:hanging="360"/>
      </w:pPr>
      <w:rPr>
        <w:rFonts w:ascii="Symbol" w:hAnsi="Symbol" w:hint="default"/>
      </w:rPr>
    </w:lvl>
    <w:lvl w:ilvl="7" w:tplc="04260003">
      <w:start w:val="1"/>
      <w:numFmt w:val="bullet"/>
      <w:lvlText w:val="o"/>
      <w:lvlJc w:val="left"/>
      <w:pPr>
        <w:tabs>
          <w:tab w:val="num" w:pos="4500"/>
        </w:tabs>
        <w:ind w:left="4500" w:hanging="360"/>
      </w:pPr>
      <w:rPr>
        <w:rFonts w:ascii="Courier New" w:hAnsi="Courier New" w:cs="Times New Roman" w:hint="default"/>
      </w:rPr>
    </w:lvl>
    <w:lvl w:ilvl="8" w:tplc="04260005">
      <w:start w:val="1"/>
      <w:numFmt w:val="bullet"/>
      <w:lvlText w:val=""/>
      <w:lvlJc w:val="left"/>
      <w:pPr>
        <w:tabs>
          <w:tab w:val="num" w:pos="5220"/>
        </w:tabs>
        <w:ind w:left="5220" w:hanging="360"/>
      </w:pPr>
      <w:rPr>
        <w:rFonts w:ascii="Wingdings" w:hAnsi="Wingdings" w:hint="default"/>
      </w:rPr>
    </w:lvl>
  </w:abstractNum>
  <w:abstractNum w:abstractNumId="4" w15:restartNumberingAfterBreak="0">
    <w:nsid w:val="1606077D"/>
    <w:multiLevelType w:val="multilevel"/>
    <w:tmpl w:val="F6D8578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15:restartNumberingAfterBreak="0">
    <w:nsid w:val="17252B98"/>
    <w:multiLevelType w:val="hybridMultilevel"/>
    <w:tmpl w:val="5EA8B07E"/>
    <w:lvl w:ilvl="0" w:tplc="0BA05FD6">
      <w:start w:val="3"/>
      <w:numFmt w:val="bullet"/>
      <w:lvlText w:val="-"/>
      <w:lvlJc w:val="left"/>
      <w:pPr>
        <w:tabs>
          <w:tab w:val="num" w:pos="-446"/>
        </w:tabs>
        <w:ind w:left="-446" w:hanging="360"/>
      </w:pPr>
      <w:rPr>
        <w:rFonts w:ascii="Garamond" w:eastAsia="Times New Roman" w:hAnsi="Garamond" w:cs="Times New Roman" w:hint="default"/>
      </w:rPr>
    </w:lvl>
    <w:lvl w:ilvl="1" w:tplc="04260003">
      <w:start w:val="1"/>
      <w:numFmt w:val="bullet"/>
      <w:lvlText w:val="o"/>
      <w:lvlJc w:val="left"/>
      <w:pPr>
        <w:tabs>
          <w:tab w:val="num" w:pos="180"/>
        </w:tabs>
        <w:ind w:left="180" w:hanging="360"/>
      </w:pPr>
      <w:rPr>
        <w:rFonts w:ascii="Courier New" w:hAnsi="Courier New" w:cs="Times New Roman" w:hint="default"/>
      </w:rPr>
    </w:lvl>
    <w:lvl w:ilvl="2" w:tplc="04260005">
      <w:start w:val="1"/>
      <w:numFmt w:val="bullet"/>
      <w:lvlText w:val=""/>
      <w:lvlJc w:val="left"/>
      <w:pPr>
        <w:tabs>
          <w:tab w:val="num" w:pos="900"/>
        </w:tabs>
        <w:ind w:left="900" w:hanging="360"/>
      </w:pPr>
      <w:rPr>
        <w:rFonts w:ascii="Wingdings" w:hAnsi="Wingdings" w:hint="default"/>
      </w:rPr>
    </w:lvl>
    <w:lvl w:ilvl="3" w:tplc="04260001">
      <w:start w:val="1"/>
      <w:numFmt w:val="bullet"/>
      <w:lvlText w:val=""/>
      <w:lvlJc w:val="left"/>
      <w:pPr>
        <w:tabs>
          <w:tab w:val="num" w:pos="1620"/>
        </w:tabs>
        <w:ind w:left="1620" w:hanging="360"/>
      </w:pPr>
      <w:rPr>
        <w:rFonts w:ascii="Symbol" w:hAnsi="Symbol" w:hint="default"/>
      </w:rPr>
    </w:lvl>
    <w:lvl w:ilvl="4" w:tplc="04260003">
      <w:start w:val="1"/>
      <w:numFmt w:val="bullet"/>
      <w:lvlText w:val="o"/>
      <w:lvlJc w:val="left"/>
      <w:pPr>
        <w:tabs>
          <w:tab w:val="num" w:pos="2340"/>
        </w:tabs>
        <w:ind w:left="2340" w:hanging="360"/>
      </w:pPr>
      <w:rPr>
        <w:rFonts w:ascii="Courier New" w:hAnsi="Courier New" w:cs="Times New Roman" w:hint="default"/>
      </w:rPr>
    </w:lvl>
    <w:lvl w:ilvl="5" w:tplc="04260005">
      <w:start w:val="1"/>
      <w:numFmt w:val="bullet"/>
      <w:lvlText w:val=""/>
      <w:lvlJc w:val="left"/>
      <w:pPr>
        <w:tabs>
          <w:tab w:val="num" w:pos="3060"/>
        </w:tabs>
        <w:ind w:left="3060" w:hanging="360"/>
      </w:pPr>
      <w:rPr>
        <w:rFonts w:ascii="Wingdings" w:hAnsi="Wingdings" w:hint="default"/>
      </w:rPr>
    </w:lvl>
    <w:lvl w:ilvl="6" w:tplc="04260001">
      <w:start w:val="1"/>
      <w:numFmt w:val="bullet"/>
      <w:lvlText w:val=""/>
      <w:lvlJc w:val="left"/>
      <w:pPr>
        <w:tabs>
          <w:tab w:val="num" w:pos="3780"/>
        </w:tabs>
        <w:ind w:left="3780" w:hanging="360"/>
      </w:pPr>
      <w:rPr>
        <w:rFonts w:ascii="Symbol" w:hAnsi="Symbol" w:hint="default"/>
      </w:rPr>
    </w:lvl>
    <w:lvl w:ilvl="7" w:tplc="04260003">
      <w:start w:val="1"/>
      <w:numFmt w:val="bullet"/>
      <w:lvlText w:val="o"/>
      <w:lvlJc w:val="left"/>
      <w:pPr>
        <w:tabs>
          <w:tab w:val="num" w:pos="4500"/>
        </w:tabs>
        <w:ind w:left="4500" w:hanging="360"/>
      </w:pPr>
      <w:rPr>
        <w:rFonts w:ascii="Courier New" w:hAnsi="Courier New" w:cs="Times New Roman" w:hint="default"/>
      </w:rPr>
    </w:lvl>
    <w:lvl w:ilvl="8" w:tplc="04260005">
      <w:start w:val="1"/>
      <w:numFmt w:val="bullet"/>
      <w:lvlText w:val=""/>
      <w:lvlJc w:val="left"/>
      <w:pPr>
        <w:tabs>
          <w:tab w:val="num" w:pos="5220"/>
        </w:tabs>
        <w:ind w:left="5220" w:hanging="360"/>
      </w:pPr>
      <w:rPr>
        <w:rFonts w:ascii="Wingdings" w:hAnsi="Wingdings" w:hint="default"/>
      </w:rPr>
    </w:lvl>
  </w:abstractNum>
  <w:abstractNum w:abstractNumId="6" w15:restartNumberingAfterBreak="0">
    <w:nsid w:val="20A20DE8"/>
    <w:multiLevelType w:val="hybridMultilevel"/>
    <w:tmpl w:val="6100CC9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20EF37E0"/>
    <w:multiLevelType w:val="multilevel"/>
    <w:tmpl w:val="D048E49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15F7274"/>
    <w:multiLevelType w:val="hybridMultilevel"/>
    <w:tmpl w:val="936AABE6"/>
    <w:lvl w:ilvl="0" w:tplc="04260017">
      <w:start w:val="1"/>
      <w:numFmt w:val="lowerLetter"/>
      <w:lvlText w:val="%1)"/>
      <w:lvlJc w:val="left"/>
      <w:pPr>
        <w:ind w:left="720" w:hanging="360"/>
      </w:pPr>
      <w:rPr>
        <w:rFonts w:eastAsia="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209661C"/>
    <w:multiLevelType w:val="multilevel"/>
    <w:tmpl w:val="308CFB72"/>
    <w:lvl w:ilvl="0">
      <w:start w:val="8"/>
      <w:numFmt w:val="decimal"/>
      <w:lvlText w:val="%1."/>
      <w:lvlJc w:val="left"/>
      <w:pPr>
        <w:tabs>
          <w:tab w:val="num" w:pos="368"/>
        </w:tabs>
        <w:ind w:left="368" w:hanging="368"/>
      </w:pPr>
      <w:rPr>
        <w:rFonts w:hint="default"/>
      </w:rPr>
    </w:lvl>
    <w:lvl w:ilvl="1">
      <w:start w:val="1"/>
      <w:numFmt w:val="decimal"/>
      <w:lvlText w:val="%1.%2."/>
      <w:lvlJc w:val="left"/>
      <w:pPr>
        <w:tabs>
          <w:tab w:val="num" w:pos="368"/>
        </w:tabs>
        <w:ind w:left="368" w:hanging="3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120"/>
        </w:tabs>
        <w:ind w:left="11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2A010FE"/>
    <w:multiLevelType w:val="multilevel"/>
    <w:tmpl w:val="3654C00A"/>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BB44B9B"/>
    <w:multiLevelType w:val="hybridMultilevel"/>
    <w:tmpl w:val="6352D012"/>
    <w:lvl w:ilvl="0" w:tplc="0BA05FD6">
      <w:start w:val="3"/>
      <w:numFmt w:val="bullet"/>
      <w:lvlText w:val="-"/>
      <w:lvlJc w:val="left"/>
      <w:pPr>
        <w:ind w:left="720" w:hanging="360"/>
      </w:pPr>
      <w:rPr>
        <w:rFonts w:ascii="Garamond" w:eastAsia="Times New Roman" w:hAnsi="Garamond"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2" w15:restartNumberingAfterBreak="0">
    <w:nsid w:val="2F7602CA"/>
    <w:multiLevelType w:val="hybridMultilevel"/>
    <w:tmpl w:val="9940C40E"/>
    <w:lvl w:ilvl="0" w:tplc="419202CC">
      <w:start w:val="200"/>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3A749DE"/>
    <w:multiLevelType w:val="hybridMultilevel"/>
    <w:tmpl w:val="315A9AE2"/>
    <w:lvl w:ilvl="0" w:tplc="0BA05FD6">
      <w:start w:val="3"/>
      <w:numFmt w:val="bullet"/>
      <w:lvlText w:val="-"/>
      <w:lvlJc w:val="left"/>
      <w:pPr>
        <w:ind w:left="720" w:hanging="360"/>
      </w:pPr>
      <w:rPr>
        <w:rFonts w:ascii="Garamond" w:eastAsia="Times New Roman" w:hAnsi="Garamond"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4" w15:restartNumberingAfterBreak="0">
    <w:nsid w:val="36966696"/>
    <w:multiLevelType w:val="multilevel"/>
    <w:tmpl w:val="C7881F18"/>
    <w:lvl w:ilvl="0">
      <w:start w:val="1"/>
      <w:numFmt w:val="decimal"/>
      <w:lvlText w:val="%1."/>
      <w:lvlJc w:val="left"/>
      <w:pPr>
        <w:ind w:left="502" w:hanging="360"/>
      </w:pPr>
      <w:rPr>
        <w:rFonts w:hint="default"/>
      </w:rPr>
    </w:lvl>
    <w:lvl w:ilvl="1">
      <w:start w:val="3"/>
      <w:numFmt w:val="decimal"/>
      <w:isLgl/>
      <w:lvlText w:val="%1.%2."/>
      <w:lvlJc w:val="left"/>
      <w:pPr>
        <w:ind w:left="720" w:hanging="360"/>
      </w:pPr>
      <w:rPr>
        <w:rFonts w:ascii="Times New Roman" w:hAnsi="Times New Roman" w:cs="Times New Roman" w:hint="default"/>
      </w:rPr>
    </w:lvl>
    <w:lvl w:ilvl="2">
      <w:start w:val="1"/>
      <w:numFmt w:val="decimal"/>
      <w:isLgl/>
      <w:lvlText w:val="%1.%2.%3."/>
      <w:lvlJc w:val="left"/>
      <w:pPr>
        <w:ind w:left="1298" w:hanging="720"/>
      </w:pPr>
      <w:rPr>
        <w:rFonts w:hint="default"/>
      </w:rPr>
    </w:lvl>
    <w:lvl w:ilvl="3">
      <w:start w:val="1"/>
      <w:numFmt w:val="decimal"/>
      <w:isLgl/>
      <w:lvlText w:val="%1.%2.%3.%4."/>
      <w:lvlJc w:val="left"/>
      <w:pPr>
        <w:ind w:left="1516" w:hanging="720"/>
      </w:pPr>
      <w:rPr>
        <w:rFonts w:hint="default"/>
      </w:rPr>
    </w:lvl>
    <w:lvl w:ilvl="4">
      <w:start w:val="1"/>
      <w:numFmt w:val="decimal"/>
      <w:isLgl/>
      <w:lvlText w:val="%1.%2.%3.%4.%5."/>
      <w:lvlJc w:val="left"/>
      <w:pPr>
        <w:ind w:left="2094" w:hanging="1080"/>
      </w:pPr>
      <w:rPr>
        <w:rFonts w:hint="default"/>
      </w:rPr>
    </w:lvl>
    <w:lvl w:ilvl="5">
      <w:start w:val="1"/>
      <w:numFmt w:val="decimal"/>
      <w:isLgl/>
      <w:lvlText w:val="%1.%2.%3.%4.%5.%6."/>
      <w:lvlJc w:val="left"/>
      <w:pPr>
        <w:ind w:left="2312" w:hanging="1080"/>
      </w:pPr>
      <w:rPr>
        <w:rFonts w:hint="default"/>
      </w:rPr>
    </w:lvl>
    <w:lvl w:ilvl="6">
      <w:start w:val="1"/>
      <w:numFmt w:val="decimal"/>
      <w:isLgl/>
      <w:lvlText w:val="%1.%2.%3.%4.%5.%6.%7."/>
      <w:lvlJc w:val="left"/>
      <w:pPr>
        <w:ind w:left="2530" w:hanging="1080"/>
      </w:pPr>
      <w:rPr>
        <w:rFonts w:hint="default"/>
      </w:rPr>
    </w:lvl>
    <w:lvl w:ilvl="7">
      <w:start w:val="1"/>
      <w:numFmt w:val="decimal"/>
      <w:isLgl/>
      <w:lvlText w:val="%1.%2.%3.%4.%5.%6.%7.%8."/>
      <w:lvlJc w:val="left"/>
      <w:pPr>
        <w:ind w:left="3108" w:hanging="1440"/>
      </w:pPr>
      <w:rPr>
        <w:rFonts w:hint="default"/>
      </w:rPr>
    </w:lvl>
    <w:lvl w:ilvl="8">
      <w:start w:val="1"/>
      <w:numFmt w:val="decimal"/>
      <w:isLgl/>
      <w:lvlText w:val="%1.%2.%3.%4.%5.%6.%7.%8.%9."/>
      <w:lvlJc w:val="left"/>
      <w:pPr>
        <w:ind w:left="3326" w:hanging="1440"/>
      </w:pPr>
      <w:rPr>
        <w:rFonts w:hint="default"/>
      </w:rPr>
    </w:lvl>
  </w:abstractNum>
  <w:abstractNum w:abstractNumId="15" w15:restartNumberingAfterBreak="0">
    <w:nsid w:val="3924497F"/>
    <w:multiLevelType w:val="multilevel"/>
    <w:tmpl w:val="BDDC50A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CC636D"/>
    <w:multiLevelType w:val="multilevel"/>
    <w:tmpl w:val="55CA7EC2"/>
    <w:lvl w:ilvl="0">
      <w:start w:val="1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3C5C6457"/>
    <w:multiLevelType w:val="hybridMultilevel"/>
    <w:tmpl w:val="3B8A784E"/>
    <w:lvl w:ilvl="0" w:tplc="D2C0A096">
      <w:start w:val="3"/>
      <w:numFmt w:val="bullet"/>
      <w:lvlText w:val="-"/>
      <w:lvlJc w:val="left"/>
      <w:pPr>
        <w:ind w:left="720" w:hanging="360"/>
      </w:pPr>
      <w:rPr>
        <w:rFonts w:ascii="Garamond" w:eastAsia="Times New Roman" w:hAnsi="Garamond"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E3E0A37"/>
    <w:multiLevelType w:val="hybridMultilevel"/>
    <w:tmpl w:val="F86E4984"/>
    <w:lvl w:ilvl="0" w:tplc="0BA05FD6">
      <w:start w:val="3"/>
      <w:numFmt w:val="bullet"/>
      <w:lvlText w:val="-"/>
      <w:lvlJc w:val="left"/>
      <w:pPr>
        <w:ind w:left="720" w:hanging="360"/>
      </w:pPr>
      <w:rPr>
        <w:rFonts w:ascii="Garamond" w:eastAsia="Times New Roman" w:hAnsi="Garamond"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E881905"/>
    <w:multiLevelType w:val="multilevel"/>
    <w:tmpl w:val="DDA6C978"/>
    <w:lvl w:ilvl="0">
      <w:start w:val="1"/>
      <w:numFmt w:val="decimal"/>
      <w:lvlText w:val="%1."/>
      <w:lvlJc w:val="left"/>
      <w:pPr>
        <w:tabs>
          <w:tab w:val="num" w:pos="720"/>
        </w:tabs>
        <w:ind w:left="720" w:hanging="360"/>
      </w:pPr>
    </w:lvl>
    <w:lvl w:ilvl="1">
      <w:start w:val="1"/>
      <w:numFmt w:val="decimal"/>
      <w:isLgl/>
      <w:lvlText w:val="%1.%2."/>
      <w:lvlJc w:val="left"/>
      <w:pPr>
        <w:tabs>
          <w:tab w:val="num" w:pos="420"/>
        </w:tabs>
        <w:ind w:left="420" w:hanging="420"/>
      </w:pPr>
      <w:rPr>
        <w:rFonts w:hint="default"/>
        <w:b w:val="0"/>
      </w:rPr>
    </w:lvl>
    <w:lvl w:ilvl="2">
      <w:start w:val="1"/>
      <w:numFmt w:val="decimal"/>
      <w:isLgl/>
      <w:lvlText w:val="%1.%2.%3."/>
      <w:lvlJc w:val="left"/>
      <w:pPr>
        <w:tabs>
          <w:tab w:val="num" w:pos="3839"/>
        </w:tabs>
        <w:ind w:left="3839"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0" w15:restartNumberingAfterBreak="0">
    <w:nsid w:val="401E7FED"/>
    <w:multiLevelType w:val="hybridMultilevel"/>
    <w:tmpl w:val="1B32BFAA"/>
    <w:lvl w:ilvl="0" w:tplc="0BA05FD6">
      <w:start w:val="3"/>
      <w:numFmt w:val="bullet"/>
      <w:lvlText w:val="-"/>
      <w:lvlJc w:val="left"/>
      <w:pPr>
        <w:tabs>
          <w:tab w:val="num" w:pos="432"/>
        </w:tabs>
        <w:ind w:left="432" w:hanging="360"/>
      </w:pPr>
      <w:rPr>
        <w:rFonts w:ascii="Garamond" w:eastAsia="Times New Roman" w:hAnsi="Garamond" w:cs="Times New Roman" w:hint="default"/>
      </w:rPr>
    </w:lvl>
    <w:lvl w:ilvl="1" w:tplc="04260003" w:tentative="1">
      <w:start w:val="1"/>
      <w:numFmt w:val="bullet"/>
      <w:lvlText w:val="o"/>
      <w:lvlJc w:val="left"/>
      <w:pPr>
        <w:tabs>
          <w:tab w:val="num" w:pos="1152"/>
        </w:tabs>
        <w:ind w:left="1152" w:hanging="360"/>
      </w:pPr>
      <w:rPr>
        <w:rFonts w:ascii="Courier New" w:hAnsi="Courier New" w:cs="Courier New" w:hint="default"/>
      </w:rPr>
    </w:lvl>
    <w:lvl w:ilvl="2" w:tplc="04260005" w:tentative="1">
      <w:start w:val="1"/>
      <w:numFmt w:val="bullet"/>
      <w:lvlText w:val=""/>
      <w:lvlJc w:val="left"/>
      <w:pPr>
        <w:tabs>
          <w:tab w:val="num" w:pos="1872"/>
        </w:tabs>
        <w:ind w:left="1872" w:hanging="360"/>
      </w:pPr>
      <w:rPr>
        <w:rFonts w:ascii="Wingdings" w:hAnsi="Wingdings" w:hint="default"/>
      </w:rPr>
    </w:lvl>
    <w:lvl w:ilvl="3" w:tplc="04260001" w:tentative="1">
      <w:start w:val="1"/>
      <w:numFmt w:val="bullet"/>
      <w:lvlText w:val=""/>
      <w:lvlJc w:val="left"/>
      <w:pPr>
        <w:tabs>
          <w:tab w:val="num" w:pos="2592"/>
        </w:tabs>
        <w:ind w:left="2592" w:hanging="360"/>
      </w:pPr>
      <w:rPr>
        <w:rFonts w:ascii="Symbol" w:hAnsi="Symbol" w:hint="default"/>
      </w:rPr>
    </w:lvl>
    <w:lvl w:ilvl="4" w:tplc="04260003" w:tentative="1">
      <w:start w:val="1"/>
      <w:numFmt w:val="bullet"/>
      <w:lvlText w:val="o"/>
      <w:lvlJc w:val="left"/>
      <w:pPr>
        <w:tabs>
          <w:tab w:val="num" w:pos="3312"/>
        </w:tabs>
        <w:ind w:left="3312" w:hanging="360"/>
      </w:pPr>
      <w:rPr>
        <w:rFonts w:ascii="Courier New" w:hAnsi="Courier New" w:cs="Courier New" w:hint="default"/>
      </w:rPr>
    </w:lvl>
    <w:lvl w:ilvl="5" w:tplc="04260005" w:tentative="1">
      <w:start w:val="1"/>
      <w:numFmt w:val="bullet"/>
      <w:lvlText w:val=""/>
      <w:lvlJc w:val="left"/>
      <w:pPr>
        <w:tabs>
          <w:tab w:val="num" w:pos="4032"/>
        </w:tabs>
        <w:ind w:left="4032" w:hanging="360"/>
      </w:pPr>
      <w:rPr>
        <w:rFonts w:ascii="Wingdings" w:hAnsi="Wingdings" w:hint="default"/>
      </w:rPr>
    </w:lvl>
    <w:lvl w:ilvl="6" w:tplc="04260001" w:tentative="1">
      <w:start w:val="1"/>
      <w:numFmt w:val="bullet"/>
      <w:lvlText w:val=""/>
      <w:lvlJc w:val="left"/>
      <w:pPr>
        <w:tabs>
          <w:tab w:val="num" w:pos="4752"/>
        </w:tabs>
        <w:ind w:left="4752" w:hanging="360"/>
      </w:pPr>
      <w:rPr>
        <w:rFonts w:ascii="Symbol" w:hAnsi="Symbol" w:hint="default"/>
      </w:rPr>
    </w:lvl>
    <w:lvl w:ilvl="7" w:tplc="04260003" w:tentative="1">
      <w:start w:val="1"/>
      <w:numFmt w:val="bullet"/>
      <w:lvlText w:val="o"/>
      <w:lvlJc w:val="left"/>
      <w:pPr>
        <w:tabs>
          <w:tab w:val="num" w:pos="5472"/>
        </w:tabs>
        <w:ind w:left="5472" w:hanging="360"/>
      </w:pPr>
      <w:rPr>
        <w:rFonts w:ascii="Courier New" w:hAnsi="Courier New" w:cs="Courier New" w:hint="default"/>
      </w:rPr>
    </w:lvl>
    <w:lvl w:ilvl="8" w:tplc="04260005" w:tentative="1">
      <w:start w:val="1"/>
      <w:numFmt w:val="bullet"/>
      <w:lvlText w:val=""/>
      <w:lvlJc w:val="left"/>
      <w:pPr>
        <w:tabs>
          <w:tab w:val="num" w:pos="6192"/>
        </w:tabs>
        <w:ind w:left="6192" w:hanging="360"/>
      </w:pPr>
      <w:rPr>
        <w:rFonts w:ascii="Wingdings" w:hAnsi="Wingdings" w:hint="default"/>
      </w:rPr>
    </w:lvl>
  </w:abstractNum>
  <w:abstractNum w:abstractNumId="21" w15:restartNumberingAfterBreak="0">
    <w:nsid w:val="428A58A0"/>
    <w:multiLevelType w:val="hybridMultilevel"/>
    <w:tmpl w:val="8C6EF46C"/>
    <w:lvl w:ilvl="0" w:tplc="15BE5FB2">
      <w:start w:val="1"/>
      <w:numFmt w:val="lowerLetter"/>
      <w:lvlText w:val="%1)"/>
      <w:lvlJc w:val="left"/>
      <w:pPr>
        <w:ind w:left="592" w:hanging="450"/>
      </w:pPr>
      <w:rPr>
        <w:rFonts w:hint="default"/>
      </w:rPr>
    </w:lvl>
    <w:lvl w:ilvl="1" w:tplc="04260019" w:tentative="1">
      <w:start w:val="1"/>
      <w:numFmt w:val="lowerLetter"/>
      <w:lvlText w:val="%2."/>
      <w:lvlJc w:val="left"/>
      <w:pPr>
        <w:ind w:left="1500" w:hanging="360"/>
      </w:pPr>
    </w:lvl>
    <w:lvl w:ilvl="2" w:tplc="0426001B" w:tentative="1">
      <w:start w:val="1"/>
      <w:numFmt w:val="lowerRoman"/>
      <w:lvlText w:val="%3."/>
      <w:lvlJc w:val="right"/>
      <w:pPr>
        <w:ind w:left="2220" w:hanging="180"/>
      </w:pPr>
    </w:lvl>
    <w:lvl w:ilvl="3" w:tplc="0426000F" w:tentative="1">
      <w:start w:val="1"/>
      <w:numFmt w:val="decimal"/>
      <w:lvlText w:val="%4."/>
      <w:lvlJc w:val="left"/>
      <w:pPr>
        <w:ind w:left="2940" w:hanging="360"/>
      </w:pPr>
    </w:lvl>
    <w:lvl w:ilvl="4" w:tplc="04260019" w:tentative="1">
      <w:start w:val="1"/>
      <w:numFmt w:val="lowerLetter"/>
      <w:lvlText w:val="%5."/>
      <w:lvlJc w:val="left"/>
      <w:pPr>
        <w:ind w:left="3660" w:hanging="360"/>
      </w:pPr>
    </w:lvl>
    <w:lvl w:ilvl="5" w:tplc="0426001B" w:tentative="1">
      <w:start w:val="1"/>
      <w:numFmt w:val="lowerRoman"/>
      <w:lvlText w:val="%6."/>
      <w:lvlJc w:val="right"/>
      <w:pPr>
        <w:ind w:left="4380" w:hanging="180"/>
      </w:pPr>
    </w:lvl>
    <w:lvl w:ilvl="6" w:tplc="0426000F" w:tentative="1">
      <w:start w:val="1"/>
      <w:numFmt w:val="decimal"/>
      <w:lvlText w:val="%7."/>
      <w:lvlJc w:val="left"/>
      <w:pPr>
        <w:ind w:left="5100" w:hanging="360"/>
      </w:pPr>
    </w:lvl>
    <w:lvl w:ilvl="7" w:tplc="04260019" w:tentative="1">
      <w:start w:val="1"/>
      <w:numFmt w:val="lowerLetter"/>
      <w:lvlText w:val="%8."/>
      <w:lvlJc w:val="left"/>
      <w:pPr>
        <w:ind w:left="5820" w:hanging="360"/>
      </w:pPr>
    </w:lvl>
    <w:lvl w:ilvl="8" w:tplc="0426001B" w:tentative="1">
      <w:start w:val="1"/>
      <w:numFmt w:val="lowerRoman"/>
      <w:lvlText w:val="%9."/>
      <w:lvlJc w:val="right"/>
      <w:pPr>
        <w:ind w:left="6540" w:hanging="180"/>
      </w:pPr>
    </w:lvl>
  </w:abstractNum>
  <w:abstractNum w:abstractNumId="22" w15:restartNumberingAfterBreak="0">
    <w:nsid w:val="431A6BD0"/>
    <w:multiLevelType w:val="multilevel"/>
    <w:tmpl w:val="0A5CCC42"/>
    <w:lvl w:ilvl="0">
      <w:start w:val="1"/>
      <w:numFmt w:val="decimal"/>
      <w:lvlText w:val="%1."/>
      <w:lvlJc w:val="left"/>
      <w:pPr>
        <w:ind w:left="360" w:hanging="360"/>
      </w:pPr>
      <w:rPr>
        <w:color w:val="auto"/>
      </w:rPr>
    </w:lvl>
    <w:lvl w:ilvl="1">
      <w:start w:val="1"/>
      <w:numFmt w:val="decimal"/>
      <w:lvlText w:val="%1.%2."/>
      <w:lvlJc w:val="left"/>
      <w:pPr>
        <w:ind w:left="1425" w:hanging="432"/>
      </w:pPr>
      <w:rPr>
        <w:b w:val="0"/>
      </w:rPr>
    </w:lvl>
    <w:lvl w:ilvl="2">
      <w:start w:val="1"/>
      <w:numFmt w:val="decimal"/>
      <w:lvlText w:val="%1.%2.%3."/>
      <w:lvlJc w:val="left"/>
      <w:pPr>
        <w:ind w:left="5466" w:hanging="504"/>
      </w:pPr>
      <w:rPr>
        <w:b w:val="0"/>
        <w:color w:val="auto"/>
      </w:rPr>
    </w:lvl>
    <w:lvl w:ilvl="3">
      <w:start w:val="1"/>
      <w:numFmt w:val="decimal"/>
      <w:lvlText w:val="%1.%2.%3.%4."/>
      <w:lvlJc w:val="left"/>
      <w:pPr>
        <w:ind w:left="1728"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38B5C09"/>
    <w:multiLevelType w:val="hybridMultilevel"/>
    <w:tmpl w:val="E8D25058"/>
    <w:lvl w:ilvl="0" w:tplc="0BA05FD6">
      <w:start w:val="3"/>
      <w:numFmt w:val="bullet"/>
      <w:lvlText w:val="-"/>
      <w:lvlJc w:val="left"/>
      <w:pPr>
        <w:ind w:left="720" w:hanging="360"/>
      </w:pPr>
      <w:rPr>
        <w:rFonts w:ascii="Garamond" w:eastAsia="Times New Roman" w:hAnsi="Garamond"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4" w15:restartNumberingAfterBreak="0">
    <w:nsid w:val="4E107389"/>
    <w:multiLevelType w:val="hybridMultilevel"/>
    <w:tmpl w:val="40D0C88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4F4E2391"/>
    <w:multiLevelType w:val="multilevel"/>
    <w:tmpl w:val="56241D5A"/>
    <w:lvl w:ilvl="0">
      <w:start w:val="9"/>
      <w:numFmt w:val="decimal"/>
      <w:lvlText w:val="%1."/>
      <w:lvlJc w:val="left"/>
      <w:pPr>
        <w:tabs>
          <w:tab w:val="num" w:pos="360"/>
        </w:tabs>
        <w:ind w:left="360" w:hanging="360"/>
      </w:pPr>
      <w:rPr>
        <w:rFonts w:ascii="Garamond" w:hAnsi="Garamond" w:hint="default"/>
        <w:sz w:val="18"/>
      </w:rPr>
    </w:lvl>
    <w:lvl w:ilvl="1">
      <w:start w:val="1"/>
      <w:numFmt w:val="decimal"/>
      <w:lvlText w:val="%1.%2."/>
      <w:lvlJc w:val="left"/>
      <w:pPr>
        <w:tabs>
          <w:tab w:val="num" w:pos="360"/>
        </w:tabs>
        <w:ind w:left="360" w:hanging="360"/>
      </w:pPr>
      <w:rPr>
        <w:rFonts w:ascii="Arial" w:hAnsi="Arial" w:cs="Arial" w:hint="default"/>
        <w:sz w:val="18"/>
      </w:rPr>
    </w:lvl>
    <w:lvl w:ilvl="2">
      <w:start w:val="1"/>
      <w:numFmt w:val="decimal"/>
      <w:lvlText w:val="%1.%2.%3."/>
      <w:lvlJc w:val="left"/>
      <w:pPr>
        <w:tabs>
          <w:tab w:val="num" w:pos="720"/>
        </w:tabs>
        <w:ind w:left="720" w:hanging="720"/>
      </w:pPr>
      <w:rPr>
        <w:rFonts w:ascii="Garamond" w:hAnsi="Garamond" w:hint="default"/>
        <w:sz w:val="18"/>
      </w:rPr>
    </w:lvl>
    <w:lvl w:ilvl="3">
      <w:start w:val="1"/>
      <w:numFmt w:val="decimal"/>
      <w:lvlText w:val="%1.%2.%3.%4."/>
      <w:lvlJc w:val="left"/>
      <w:pPr>
        <w:tabs>
          <w:tab w:val="num" w:pos="720"/>
        </w:tabs>
        <w:ind w:left="720" w:hanging="720"/>
      </w:pPr>
      <w:rPr>
        <w:rFonts w:ascii="Garamond" w:hAnsi="Garamond" w:hint="default"/>
        <w:sz w:val="18"/>
      </w:rPr>
    </w:lvl>
    <w:lvl w:ilvl="4">
      <w:start w:val="1"/>
      <w:numFmt w:val="decimal"/>
      <w:lvlText w:val="%1.%2.%3.%4.%5."/>
      <w:lvlJc w:val="left"/>
      <w:pPr>
        <w:tabs>
          <w:tab w:val="num" w:pos="1080"/>
        </w:tabs>
        <w:ind w:left="1080" w:hanging="1080"/>
      </w:pPr>
      <w:rPr>
        <w:rFonts w:ascii="Garamond" w:hAnsi="Garamond" w:hint="default"/>
        <w:sz w:val="18"/>
      </w:rPr>
    </w:lvl>
    <w:lvl w:ilvl="5">
      <w:start w:val="1"/>
      <w:numFmt w:val="decimal"/>
      <w:lvlText w:val="%1.%2.%3.%4.%5.%6."/>
      <w:lvlJc w:val="left"/>
      <w:pPr>
        <w:tabs>
          <w:tab w:val="num" w:pos="1080"/>
        </w:tabs>
        <w:ind w:left="1080" w:hanging="1080"/>
      </w:pPr>
      <w:rPr>
        <w:rFonts w:ascii="Garamond" w:hAnsi="Garamond" w:hint="default"/>
        <w:sz w:val="18"/>
      </w:rPr>
    </w:lvl>
    <w:lvl w:ilvl="6">
      <w:start w:val="1"/>
      <w:numFmt w:val="decimal"/>
      <w:lvlText w:val="%1.%2.%3.%4.%5.%6.%7."/>
      <w:lvlJc w:val="left"/>
      <w:pPr>
        <w:tabs>
          <w:tab w:val="num" w:pos="1080"/>
        </w:tabs>
        <w:ind w:left="1080" w:hanging="1080"/>
      </w:pPr>
      <w:rPr>
        <w:rFonts w:ascii="Garamond" w:hAnsi="Garamond" w:hint="default"/>
        <w:sz w:val="18"/>
      </w:rPr>
    </w:lvl>
    <w:lvl w:ilvl="7">
      <w:start w:val="1"/>
      <w:numFmt w:val="decimal"/>
      <w:lvlText w:val="%1.%2.%3.%4.%5.%6.%7.%8."/>
      <w:lvlJc w:val="left"/>
      <w:pPr>
        <w:tabs>
          <w:tab w:val="num" w:pos="1440"/>
        </w:tabs>
        <w:ind w:left="1440" w:hanging="1440"/>
      </w:pPr>
      <w:rPr>
        <w:rFonts w:ascii="Garamond" w:hAnsi="Garamond" w:hint="default"/>
        <w:sz w:val="18"/>
      </w:rPr>
    </w:lvl>
    <w:lvl w:ilvl="8">
      <w:start w:val="1"/>
      <w:numFmt w:val="decimal"/>
      <w:lvlText w:val="%1.%2.%3.%4.%5.%6.%7.%8.%9."/>
      <w:lvlJc w:val="left"/>
      <w:pPr>
        <w:tabs>
          <w:tab w:val="num" w:pos="1440"/>
        </w:tabs>
        <w:ind w:left="1440" w:hanging="1440"/>
      </w:pPr>
      <w:rPr>
        <w:rFonts w:ascii="Garamond" w:hAnsi="Garamond" w:hint="default"/>
        <w:sz w:val="18"/>
      </w:rPr>
    </w:lvl>
  </w:abstractNum>
  <w:abstractNum w:abstractNumId="26" w15:restartNumberingAfterBreak="0">
    <w:nsid w:val="51892EA3"/>
    <w:multiLevelType w:val="multilevel"/>
    <w:tmpl w:val="8D52E940"/>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6C51498"/>
    <w:multiLevelType w:val="multilevel"/>
    <w:tmpl w:val="3072DA82"/>
    <w:lvl w:ilvl="0">
      <w:start w:val="1"/>
      <w:numFmt w:val="decimal"/>
      <w:lvlText w:val="%1."/>
      <w:lvlJc w:val="left"/>
      <w:pPr>
        <w:tabs>
          <w:tab w:val="num" w:pos="720"/>
        </w:tabs>
        <w:ind w:left="720" w:hanging="360"/>
      </w:pPr>
    </w:lvl>
    <w:lvl w:ilvl="1">
      <w:start w:val="1"/>
      <w:numFmt w:val="decimal"/>
      <w:isLgl/>
      <w:lvlText w:val="%1.%2."/>
      <w:lvlJc w:val="left"/>
      <w:pPr>
        <w:tabs>
          <w:tab w:val="num" w:pos="720"/>
        </w:tabs>
        <w:ind w:left="720" w:hanging="360"/>
      </w:pPr>
      <w:rPr>
        <w:b w:val="0"/>
      </w:rPr>
    </w:lvl>
    <w:lvl w:ilvl="2">
      <w:start w:val="1"/>
      <w:numFmt w:val="decimal"/>
      <w:isLgl/>
      <w:lvlText w:val="%1.%2.%3."/>
      <w:lvlJc w:val="left"/>
      <w:pPr>
        <w:tabs>
          <w:tab w:val="num" w:pos="1080"/>
        </w:tabs>
        <w:ind w:left="1080" w:hanging="720"/>
      </w:pPr>
      <w:rPr>
        <w:b w:val="0"/>
      </w:rPr>
    </w:lvl>
    <w:lvl w:ilvl="3">
      <w:start w:val="1"/>
      <w:numFmt w:val="decimal"/>
      <w:isLgl/>
      <w:lvlText w:val="%1.%2.%3.%4."/>
      <w:lvlJc w:val="left"/>
      <w:pPr>
        <w:tabs>
          <w:tab w:val="num" w:pos="1080"/>
        </w:tabs>
        <w:ind w:left="1080" w:hanging="720"/>
      </w:pPr>
      <w:rPr>
        <w:b w:val="0"/>
      </w:rPr>
    </w:lvl>
    <w:lvl w:ilvl="4">
      <w:start w:val="1"/>
      <w:numFmt w:val="decimal"/>
      <w:isLgl/>
      <w:lvlText w:val="%1.%2.%3.%4.%5."/>
      <w:lvlJc w:val="left"/>
      <w:pPr>
        <w:tabs>
          <w:tab w:val="num" w:pos="1440"/>
        </w:tabs>
        <w:ind w:left="1440" w:hanging="1080"/>
      </w:pPr>
      <w:rPr>
        <w:b w:val="0"/>
      </w:rPr>
    </w:lvl>
    <w:lvl w:ilvl="5">
      <w:start w:val="1"/>
      <w:numFmt w:val="decimal"/>
      <w:isLgl/>
      <w:lvlText w:val="%1.%2.%3.%4.%5.%6."/>
      <w:lvlJc w:val="left"/>
      <w:pPr>
        <w:tabs>
          <w:tab w:val="num" w:pos="1440"/>
        </w:tabs>
        <w:ind w:left="1440" w:hanging="1080"/>
      </w:pPr>
      <w:rPr>
        <w:b w:val="0"/>
      </w:rPr>
    </w:lvl>
    <w:lvl w:ilvl="6">
      <w:start w:val="1"/>
      <w:numFmt w:val="decimal"/>
      <w:isLgl/>
      <w:lvlText w:val="%1.%2.%3.%4.%5.%6.%7."/>
      <w:lvlJc w:val="left"/>
      <w:pPr>
        <w:tabs>
          <w:tab w:val="num" w:pos="1800"/>
        </w:tabs>
        <w:ind w:left="1800" w:hanging="1440"/>
      </w:pPr>
      <w:rPr>
        <w:b w:val="0"/>
      </w:rPr>
    </w:lvl>
    <w:lvl w:ilvl="7">
      <w:start w:val="1"/>
      <w:numFmt w:val="decimal"/>
      <w:isLgl/>
      <w:lvlText w:val="%1.%2.%3.%4.%5.%6.%7.%8."/>
      <w:lvlJc w:val="left"/>
      <w:pPr>
        <w:tabs>
          <w:tab w:val="num" w:pos="1800"/>
        </w:tabs>
        <w:ind w:left="1800" w:hanging="1440"/>
      </w:pPr>
      <w:rPr>
        <w:b w:val="0"/>
      </w:rPr>
    </w:lvl>
    <w:lvl w:ilvl="8">
      <w:start w:val="1"/>
      <w:numFmt w:val="decimal"/>
      <w:isLgl/>
      <w:lvlText w:val="%1.%2.%3.%4.%5.%6.%7.%8.%9."/>
      <w:lvlJc w:val="left"/>
      <w:pPr>
        <w:tabs>
          <w:tab w:val="num" w:pos="2160"/>
        </w:tabs>
        <w:ind w:left="2160" w:hanging="1800"/>
      </w:pPr>
      <w:rPr>
        <w:b w:val="0"/>
      </w:rPr>
    </w:lvl>
  </w:abstractNum>
  <w:abstractNum w:abstractNumId="28" w15:restartNumberingAfterBreak="0">
    <w:nsid w:val="591A0057"/>
    <w:multiLevelType w:val="multilevel"/>
    <w:tmpl w:val="450656B0"/>
    <w:lvl w:ilvl="0">
      <w:start w:val="1"/>
      <w:numFmt w:val="decimal"/>
      <w:lvlText w:val="%1."/>
      <w:lvlJc w:val="left"/>
      <w:pPr>
        <w:ind w:left="720" w:hanging="360"/>
      </w:pPr>
      <w:rPr>
        <w:rFonts w:hint="default"/>
        <w:b/>
      </w:rPr>
    </w:lvl>
    <w:lvl w:ilvl="1">
      <w:start w:val="2"/>
      <w:numFmt w:val="decimal"/>
      <w:isLgl/>
      <w:lvlText w:val="%1.%2."/>
      <w:lvlJc w:val="left"/>
      <w:pPr>
        <w:ind w:left="749" w:hanging="465"/>
      </w:pPr>
      <w:rPr>
        <w:rFonts w:hint="default"/>
        <w:b/>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29" w15:restartNumberingAfterBreak="0">
    <w:nsid w:val="697D347D"/>
    <w:multiLevelType w:val="hybridMultilevel"/>
    <w:tmpl w:val="D52A6056"/>
    <w:lvl w:ilvl="0" w:tplc="0BA05FD6">
      <w:start w:val="3"/>
      <w:numFmt w:val="bullet"/>
      <w:lvlText w:val="-"/>
      <w:lvlJc w:val="left"/>
      <w:pPr>
        <w:ind w:left="720" w:hanging="360"/>
      </w:pPr>
      <w:rPr>
        <w:rFonts w:ascii="Garamond" w:eastAsia="Times New Roman" w:hAnsi="Garamond"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0" w15:restartNumberingAfterBreak="0">
    <w:nsid w:val="6AE94D79"/>
    <w:multiLevelType w:val="hybridMultilevel"/>
    <w:tmpl w:val="5D307D02"/>
    <w:lvl w:ilvl="0" w:tplc="37062814">
      <w:start w:val="1"/>
      <w:numFmt w:val="lowerLetter"/>
      <w:lvlText w:val="%1)"/>
      <w:lvlJc w:val="left"/>
      <w:pPr>
        <w:ind w:left="36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4FD64E5"/>
    <w:multiLevelType w:val="hybridMultilevel"/>
    <w:tmpl w:val="DD92C5A0"/>
    <w:lvl w:ilvl="0" w:tplc="0BA05FD6">
      <w:start w:val="3"/>
      <w:numFmt w:val="bullet"/>
      <w:lvlText w:val="-"/>
      <w:lvlJc w:val="left"/>
      <w:pPr>
        <w:ind w:left="720" w:hanging="360"/>
      </w:pPr>
      <w:rPr>
        <w:rFonts w:ascii="Garamond" w:eastAsia="Times New Roman" w:hAnsi="Garamond"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2" w15:restartNumberingAfterBreak="0">
    <w:nsid w:val="76DF1603"/>
    <w:multiLevelType w:val="multilevel"/>
    <w:tmpl w:val="E59C0F4C"/>
    <w:lvl w:ilvl="0">
      <w:start w:val="5"/>
      <w:numFmt w:val="decimal"/>
      <w:lvlText w:val="%1."/>
      <w:lvlJc w:val="left"/>
      <w:pPr>
        <w:ind w:left="450" w:hanging="450"/>
      </w:pPr>
      <w:rPr>
        <w:rFonts w:hint="default"/>
      </w:rPr>
    </w:lvl>
    <w:lvl w:ilvl="1">
      <w:start w:val="2"/>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7EBD7DA7"/>
    <w:multiLevelType w:val="hybridMultilevel"/>
    <w:tmpl w:val="AA46AC06"/>
    <w:lvl w:ilvl="0" w:tplc="E8EC2720">
      <w:start w:val="3"/>
      <w:numFmt w:val="bullet"/>
      <w:lvlText w:val="-"/>
      <w:lvlJc w:val="left"/>
      <w:pPr>
        <w:tabs>
          <w:tab w:val="num" w:pos="720"/>
        </w:tabs>
        <w:ind w:left="720" w:hanging="360"/>
      </w:pPr>
      <w:rPr>
        <w:rFonts w:ascii="Garamond" w:eastAsia="Times New Roman" w:hAnsi="Garamond" w:cs="Times New Roman" w:hint="default"/>
        <w:b w:val="0"/>
        <w:sz w:val="18"/>
        <w:szCs w:val="18"/>
        <w:lang w:val="en-US"/>
      </w:rPr>
    </w:lvl>
    <w:lvl w:ilvl="1" w:tplc="22B8658E">
      <w:start w:val="1"/>
      <w:numFmt w:val="bullet"/>
      <w:lvlText w:val=""/>
      <w:lvlJc w:val="left"/>
      <w:pPr>
        <w:tabs>
          <w:tab w:val="num" w:pos="1440"/>
        </w:tabs>
        <w:ind w:left="1420" w:hanging="340"/>
      </w:pPr>
      <w:rPr>
        <w:rFonts w:ascii="Symbol" w:hAnsi="Symbol" w:hint="default"/>
        <w:color w:val="auto"/>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15"/>
  </w:num>
  <w:num w:numId="3">
    <w:abstractNumId w:val="26"/>
  </w:num>
  <w:num w:numId="4">
    <w:abstractNumId w:val="8"/>
  </w:num>
  <w:num w:numId="5">
    <w:abstractNumId w:val="30"/>
  </w:num>
  <w:num w:numId="6">
    <w:abstractNumId w:val="21"/>
  </w:num>
  <w:num w:numId="7">
    <w:abstractNumId w:val="24"/>
  </w:num>
  <w:num w:numId="8">
    <w:abstractNumId w:val="28"/>
  </w:num>
  <w:num w:numId="9">
    <w:abstractNumId w:val="14"/>
  </w:num>
  <w:num w:numId="10">
    <w:abstractNumId w:val="6"/>
  </w:num>
  <w:num w:numId="11">
    <w:abstractNumId w:val="3"/>
  </w:num>
  <w:num w:numId="12">
    <w:abstractNumId w:val="5"/>
  </w:num>
  <w:num w:numId="13">
    <w:abstractNumId w:val="23"/>
  </w:num>
  <w:num w:numId="14">
    <w:abstractNumId w:val="13"/>
  </w:num>
  <w:num w:numId="15">
    <w:abstractNumId w:val="31"/>
  </w:num>
  <w:num w:numId="16">
    <w:abstractNumId w:val="11"/>
  </w:num>
  <w:num w:numId="17">
    <w:abstractNumId w:val="33"/>
  </w:num>
  <w:num w:numId="18">
    <w:abstractNumId w:val="17"/>
  </w:num>
  <w:num w:numId="19">
    <w:abstractNumId w:val="29"/>
  </w:num>
  <w:num w:numId="20">
    <w:abstractNumId w:val="18"/>
  </w:num>
  <w:num w:numId="21">
    <w:abstractNumId w:val="2"/>
  </w:num>
  <w:num w:numId="22">
    <w:abstractNumId w:val="0"/>
  </w:num>
  <w:num w:numId="23">
    <w:abstractNumId w:val="4"/>
  </w:num>
  <w:num w:numId="24">
    <w:abstractNumId w:val="7"/>
  </w:num>
  <w:num w:numId="25">
    <w:abstractNumId w:val="10"/>
  </w:num>
  <w:num w:numId="26">
    <w:abstractNumId w:val="1"/>
  </w:num>
  <w:num w:numId="27">
    <w:abstractNumId w:val="9"/>
  </w:num>
  <w:num w:numId="28">
    <w:abstractNumId w:val="25"/>
  </w:num>
  <w:num w:numId="29">
    <w:abstractNumId w:val="32"/>
  </w:num>
  <w:num w:numId="30">
    <w:abstractNumId w:val="12"/>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19"/>
  </w:num>
  <w:num w:numId="3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6C9"/>
    <w:rsid w:val="000302F9"/>
    <w:rsid w:val="0008616A"/>
    <w:rsid w:val="00093E27"/>
    <w:rsid w:val="000A26DD"/>
    <w:rsid w:val="0012225B"/>
    <w:rsid w:val="001739FC"/>
    <w:rsid w:val="00175537"/>
    <w:rsid w:val="00230938"/>
    <w:rsid w:val="002535E6"/>
    <w:rsid w:val="00260584"/>
    <w:rsid w:val="002605B3"/>
    <w:rsid w:val="00276CAD"/>
    <w:rsid w:val="0029586B"/>
    <w:rsid w:val="003053E6"/>
    <w:rsid w:val="003B407D"/>
    <w:rsid w:val="003D391F"/>
    <w:rsid w:val="004057CD"/>
    <w:rsid w:val="004443DB"/>
    <w:rsid w:val="00486249"/>
    <w:rsid w:val="0049376A"/>
    <w:rsid w:val="004E62D7"/>
    <w:rsid w:val="00537D9C"/>
    <w:rsid w:val="005E3B5E"/>
    <w:rsid w:val="005E613F"/>
    <w:rsid w:val="006B5846"/>
    <w:rsid w:val="006C27FF"/>
    <w:rsid w:val="00820578"/>
    <w:rsid w:val="008257D6"/>
    <w:rsid w:val="00830ACF"/>
    <w:rsid w:val="00832734"/>
    <w:rsid w:val="00845AE1"/>
    <w:rsid w:val="008B3528"/>
    <w:rsid w:val="009466C9"/>
    <w:rsid w:val="00965C43"/>
    <w:rsid w:val="009A0F14"/>
    <w:rsid w:val="009C6B04"/>
    <w:rsid w:val="00A32A0A"/>
    <w:rsid w:val="00A45F0B"/>
    <w:rsid w:val="00A51E94"/>
    <w:rsid w:val="00A675F4"/>
    <w:rsid w:val="00AD6541"/>
    <w:rsid w:val="00AE792C"/>
    <w:rsid w:val="00B428E8"/>
    <w:rsid w:val="00C16E2D"/>
    <w:rsid w:val="00C919F5"/>
    <w:rsid w:val="00D72FB9"/>
    <w:rsid w:val="00E00174"/>
    <w:rsid w:val="00E63543"/>
    <w:rsid w:val="00ED04A8"/>
    <w:rsid w:val="00EE68EE"/>
    <w:rsid w:val="00EF75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78A72A-F366-40C8-9996-3C7BF1E85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5F4"/>
  </w:style>
  <w:style w:type="paragraph" w:styleId="Heading1">
    <w:name w:val="heading 1"/>
    <w:basedOn w:val="Normal"/>
    <w:next w:val="Normal"/>
    <w:link w:val="Heading1Char"/>
    <w:qFormat/>
    <w:rsid w:val="009466C9"/>
    <w:pPr>
      <w:keepNext/>
      <w:outlineLvl w:val="0"/>
    </w:pPr>
    <w:rPr>
      <w:rFonts w:eastAsia="Times New Roman" w:cs="Times New Roman"/>
      <w:b/>
      <w:sz w:val="28"/>
      <w:szCs w:val="24"/>
    </w:rPr>
  </w:style>
  <w:style w:type="paragraph" w:styleId="Heading3">
    <w:name w:val="heading 3"/>
    <w:basedOn w:val="Normal"/>
    <w:next w:val="Normal"/>
    <w:link w:val="Heading3Char"/>
    <w:uiPriority w:val="9"/>
    <w:qFormat/>
    <w:rsid w:val="009466C9"/>
    <w:pPr>
      <w:keepNext/>
      <w:jc w:val="center"/>
      <w:outlineLvl w:val="2"/>
    </w:pPr>
    <w:rPr>
      <w:rFonts w:ascii="Tahoma" w:eastAsia="Times New Roman" w:hAnsi="Tahoma" w:cs="Times New Roman"/>
      <w:b/>
      <w:bCs/>
      <w:sz w:val="20"/>
      <w:szCs w:val="20"/>
      <w:lang w:val="x-none"/>
    </w:rPr>
  </w:style>
  <w:style w:type="paragraph" w:styleId="Heading4">
    <w:name w:val="heading 4"/>
    <w:basedOn w:val="Normal"/>
    <w:next w:val="Normal"/>
    <w:link w:val="Heading4Char"/>
    <w:qFormat/>
    <w:rsid w:val="009466C9"/>
    <w:pPr>
      <w:keepNext/>
      <w:spacing w:before="60" w:after="60"/>
      <w:jc w:val="right"/>
      <w:outlineLvl w:val="3"/>
    </w:pPr>
    <w:rPr>
      <w:rFonts w:eastAsia="Times New Roman" w:cs="Times New Roman"/>
      <w:b/>
      <w:sz w:val="20"/>
      <w:szCs w:val="24"/>
    </w:rPr>
  </w:style>
  <w:style w:type="paragraph" w:styleId="Heading6">
    <w:name w:val="heading 6"/>
    <w:basedOn w:val="Normal"/>
    <w:next w:val="Normal"/>
    <w:link w:val="Heading6Char"/>
    <w:qFormat/>
    <w:rsid w:val="009466C9"/>
    <w:pPr>
      <w:keepNext/>
      <w:jc w:val="center"/>
      <w:outlineLvl w:val="5"/>
    </w:pPr>
    <w:rPr>
      <w:rFonts w:ascii="Tahoma" w:eastAsia="Times New Roman" w:hAnsi="Tahoma" w:cs="Times New Roman"/>
      <w:b/>
      <w:bCs/>
      <w:sz w:val="18"/>
      <w:szCs w:val="24"/>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66C9"/>
    <w:rPr>
      <w:rFonts w:eastAsia="Times New Roman" w:cs="Times New Roman"/>
      <w:b/>
      <w:sz w:val="28"/>
      <w:szCs w:val="24"/>
    </w:rPr>
  </w:style>
  <w:style w:type="character" w:customStyle="1" w:styleId="Heading3Char">
    <w:name w:val="Heading 3 Char"/>
    <w:basedOn w:val="DefaultParagraphFont"/>
    <w:link w:val="Heading3"/>
    <w:uiPriority w:val="9"/>
    <w:rsid w:val="009466C9"/>
    <w:rPr>
      <w:rFonts w:ascii="Tahoma" w:eastAsia="Times New Roman" w:hAnsi="Tahoma" w:cs="Times New Roman"/>
      <w:b/>
      <w:bCs/>
      <w:sz w:val="20"/>
      <w:szCs w:val="20"/>
      <w:lang w:val="x-none"/>
    </w:rPr>
  </w:style>
  <w:style w:type="character" w:customStyle="1" w:styleId="Heading4Char">
    <w:name w:val="Heading 4 Char"/>
    <w:basedOn w:val="DefaultParagraphFont"/>
    <w:link w:val="Heading4"/>
    <w:rsid w:val="009466C9"/>
    <w:rPr>
      <w:rFonts w:eastAsia="Times New Roman" w:cs="Times New Roman"/>
      <w:b/>
      <w:sz w:val="20"/>
      <w:szCs w:val="24"/>
    </w:rPr>
  </w:style>
  <w:style w:type="character" w:customStyle="1" w:styleId="Heading6Char">
    <w:name w:val="Heading 6 Char"/>
    <w:basedOn w:val="DefaultParagraphFont"/>
    <w:link w:val="Heading6"/>
    <w:rsid w:val="009466C9"/>
    <w:rPr>
      <w:rFonts w:ascii="Tahoma" w:eastAsia="Times New Roman" w:hAnsi="Tahoma" w:cs="Times New Roman"/>
      <w:b/>
      <w:bCs/>
      <w:sz w:val="18"/>
      <w:szCs w:val="24"/>
      <w:lang w:val="x-none"/>
    </w:rPr>
  </w:style>
  <w:style w:type="paragraph" w:styleId="Footer">
    <w:name w:val="footer"/>
    <w:basedOn w:val="Normal"/>
    <w:link w:val="FooterChar"/>
    <w:uiPriority w:val="99"/>
    <w:unhideWhenUsed/>
    <w:rsid w:val="009466C9"/>
    <w:pPr>
      <w:tabs>
        <w:tab w:val="center" w:pos="4153"/>
        <w:tab w:val="right" w:pos="8306"/>
      </w:tabs>
    </w:pPr>
  </w:style>
  <w:style w:type="character" w:customStyle="1" w:styleId="FooterChar">
    <w:name w:val="Footer Char"/>
    <w:basedOn w:val="DefaultParagraphFont"/>
    <w:link w:val="Footer"/>
    <w:uiPriority w:val="99"/>
    <w:rsid w:val="009466C9"/>
  </w:style>
  <w:style w:type="paragraph" w:styleId="FootnoteText">
    <w:name w:val="footnote text"/>
    <w:basedOn w:val="Normal"/>
    <w:link w:val="FootnoteTextChar"/>
    <w:uiPriority w:val="99"/>
    <w:unhideWhenUsed/>
    <w:rsid w:val="009466C9"/>
    <w:rPr>
      <w:rFonts w:eastAsia="Times New Roman" w:cs="Times New Roman"/>
      <w:sz w:val="20"/>
      <w:szCs w:val="20"/>
      <w:lang w:val="en-GB"/>
    </w:rPr>
  </w:style>
  <w:style w:type="character" w:customStyle="1" w:styleId="FootnoteTextChar">
    <w:name w:val="Footnote Text Char"/>
    <w:basedOn w:val="DefaultParagraphFont"/>
    <w:link w:val="FootnoteText"/>
    <w:uiPriority w:val="99"/>
    <w:rsid w:val="009466C9"/>
    <w:rPr>
      <w:rFonts w:eastAsia="Times New Roman" w:cs="Times New Roman"/>
      <w:sz w:val="20"/>
      <w:szCs w:val="20"/>
      <w:lang w:val="en-GB"/>
    </w:rPr>
  </w:style>
  <w:style w:type="character" w:styleId="FootnoteReference">
    <w:name w:val="footnote reference"/>
    <w:uiPriority w:val="99"/>
    <w:unhideWhenUsed/>
    <w:rsid w:val="009466C9"/>
    <w:rPr>
      <w:vertAlign w:val="superscript"/>
    </w:rPr>
  </w:style>
  <w:style w:type="character" w:styleId="Hyperlink">
    <w:name w:val="Hyperlink"/>
    <w:basedOn w:val="DefaultParagraphFont"/>
    <w:uiPriority w:val="99"/>
    <w:unhideWhenUsed/>
    <w:rsid w:val="009466C9"/>
    <w:rPr>
      <w:color w:val="0563C1" w:themeColor="hyperlink"/>
      <w:u w:val="single"/>
    </w:rPr>
  </w:style>
  <w:style w:type="paragraph" w:styleId="ListParagraph">
    <w:name w:val="List Paragraph"/>
    <w:basedOn w:val="Normal"/>
    <w:link w:val="ListParagraphChar"/>
    <w:qFormat/>
    <w:rsid w:val="009466C9"/>
    <w:pPr>
      <w:ind w:left="720"/>
      <w:contextualSpacing/>
    </w:pPr>
  </w:style>
  <w:style w:type="paragraph" w:styleId="Header">
    <w:name w:val="header"/>
    <w:basedOn w:val="Normal"/>
    <w:link w:val="HeaderChar"/>
    <w:uiPriority w:val="99"/>
    <w:rsid w:val="009466C9"/>
    <w:pPr>
      <w:tabs>
        <w:tab w:val="center" w:pos="4153"/>
        <w:tab w:val="right" w:pos="8306"/>
      </w:tabs>
    </w:pPr>
    <w:rPr>
      <w:rFonts w:eastAsia="Times New Roman" w:cs="Times New Roman"/>
      <w:szCs w:val="24"/>
      <w:lang w:val="en-US"/>
    </w:rPr>
  </w:style>
  <w:style w:type="character" w:customStyle="1" w:styleId="HeaderChar">
    <w:name w:val="Header Char"/>
    <w:basedOn w:val="DefaultParagraphFont"/>
    <w:link w:val="Header"/>
    <w:uiPriority w:val="99"/>
    <w:rsid w:val="009466C9"/>
    <w:rPr>
      <w:rFonts w:eastAsia="Times New Roman" w:cs="Times New Roman"/>
      <w:szCs w:val="24"/>
      <w:lang w:val="en-US"/>
    </w:rPr>
  </w:style>
  <w:style w:type="paragraph" w:styleId="BodyText">
    <w:name w:val="Body Text"/>
    <w:basedOn w:val="Normal"/>
    <w:link w:val="BodyTextChar"/>
    <w:rsid w:val="009466C9"/>
    <w:pPr>
      <w:ind w:right="-382"/>
      <w:jc w:val="both"/>
    </w:pPr>
    <w:rPr>
      <w:rFonts w:ascii="Tahoma" w:eastAsia="Times New Roman" w:hAnsi="Tahoma" w:cs="Times New Roman"/>
      <w:bCs/>
      <w:sz w:val="20"/>
      <w:szCs w:val="24"/>
      <w:lang w:val="x-none"/>
    </w:rPr>
  </w:style>
  <w:style w:type="character" w:customStyle="1" w:styleId="BodyTextChar">
    <w:name w:val="Body Text Char"/>
    <w:basedOn w:val="DefaultParagraphFont"/>
    <w:link w:val="BodyText"/>
    <w:rsid w:val="009466C9"/>
    <w:rPr>
      <w:rFonts w:ascii="Tahoma" w:eastAsia="Times New Roman" w:hAnsi="Tahoma" w:cs="Times New Roman"/>
      <w:bCs/>
      <w:sz w:val="20"/>
      <w:szCs w:val="24"/>
      <w:lang w:val="x-none"/>
    </w:rPr>
  </w:style>
  <w:style w:type="paragraph" w:styleId="Title">
    <w:name w:val="Title"/>
    <w:basedOn w:val="Normal"/>
    <w:link w:val="TitleChar"/>
    <w:qFormat/>
    <w:rsid w:val="009466C9"/>
    <w:pPr>
      <w:jc w:val="center"/>
    </w:pPr>
    <w:rPr>
      <w:rFonts w:eastAsia="Times New Roman" w:cs="Times New Roman"/>
      <w:b/>
      <w:szCs w:val="24"/>
      <w:lang w:val="x-none"/>
    </w:rPr>
  </w:style>
  <w:style w:type="character" w:customStyle="1" w:styleId="TitleChar">
    <w:name w:val="Title Char"/>
    <w:basedOn w:val="DefaultParagraphFont"/>
    <w:link w:val="Title"/>
    <w:rsid w:val="009466C9"/>
    <w:rPr>
      <w:rFonts w:eastAsia="Times New Roman" w:cs="Times New Roman"/>
      <w:b/>
      <w:szCs w:val="24"/>
      <w:lang w:val="x-none"/>
    </w:rPr>
  </w:style>
  <w:style w:type="paragraph" w:styleId="NoSpacing">
    <w:name w:val="No Spacing"/>
    <w:link w:val="NoSpacingChar"/>
    <w:uiPriority w:val="1"/>
    <w:qFormat/>
    <w:rsid w:val="009466C9"/>
    <w:rPr>
      <w:rFonts w:ascii="Calibri" w:eastAsia="Times New Roman" w:hAnsi="Calibri" w:cs="Times New Roman"/>
      <w:sz w:val="22"/>
      <w:lang w:val="en-US"/>
    </w:rPr>
  </w:style>
  <w:style w:type="character" w:customStyle="1" w:styleId="NoSpacingChar">
    <w:name w:val="No Spacing Char"/>
    <w:link w:val="NoSpacing"/>
    <w:uiPriority w:val="1"/>
    <w:rsid w:val="009466C9"/>
    <w:rPr>
      <w:rFonts w:ascii="Calibri" w:eastAsia="Times New Roman" w:hAnsi="Calibri" w:cs="Times New Roman"/>
      <w:sz w:val="22"/>
      <w:lang w:val="en-US"/>
    </w:rPr>
  </w:style>
  <w:style w:type="character" w:styleId="Emphasis">
    <w:name w:val="Emphasis"/>
    <w:qFormat/>
    <w:rsid w:val="009466C9"/>
    <w:rPr>
      <w:b/>
      <w:bCs/>
      <w:i w:val="0"/>
      <w:iCs w:val="0"/>
    </w:rPr>
  </w:style>
  <w:style w:type="paragraph" w:customStyle="1" w:styleId="Default">
    <w:name w:val="Default"/>
    <w:rsid w:val="009466C9"/>
    <w:pPr>
      <w:autoSpaceDE w:val="0"/>
      <w:autoSpaceDN w:val="0"/>
      <w:adjustRightInd w:val="0"/>
    </w:pPr>
    <w:rPr>
      <w:rFonts w:eastAsia="Times New Roman" w:cs="Times New Roman"/>
      <w:color w:val="000000"/>
      <w:szCs w:val="24"/>
      <w:lang w:val="en-US"/>
    </w:rPr>
  </w:style>
  <w:style w:type="paragraph" w:styleId="BalloonText">
    <w:name w:val="Balloon Text"/>
    <w:basedOn w:val="Normal"/>
    <w:link w:val="BalloonTextChar"/>
    <w:uiPriority w:val="99"/>
    <w:semiHidden/>
    <w:unhideWhenUsed/>
    <w:rsid w:val="009466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66C9"/>
    <w:rPr>
      <w:rFonts w:ascii="Segoe UI" w:hAnsi="Segoe UI" w:cs="Segoe UI"/>
      <w:sz w:val="18"/>
      <w:szCs w:val="18"/>
    </w:rPr>
  </w:style>
  <w:style w:type="character" w:customStyle="1" w:styleId="ListParagraphChar">
    <w:name w:val="List Paragraph Char"/>
    <w:link w:val="ListParagraph"/>
    <w:locked/>
    <w:rsid w:val="00D72FB9"/>
  </w:style>
  <w:style w:type="character" w:styleId="FollowedHyperlink">
    <w:name w:val="FollowedHyperlink"/>
    <w:basedOn w:val="DefaultParagraphFont"/>
    <w:uiPriority w:val="99"/>
    <w:semiHidden/>
    <w:unhideWhenUsed/>
    <w:rsid w:val="004E62D7"/>
    <w:rPr>
      <w:color w:val="954F72"/>
      <w:u w:val="single"/>
    </w:rPr>
  </w:style>
  <w:style w:type="paragraph" w:customStyle="1" w:styleId="xl65">
    <w:name w:val="xl65"/>
    <w:basedOn w:val="Normal"/>
    <w:rsid w:val="004E62D7"/>
    <w:pPr>
      <w:spacing w:before="100" w:beforeAutospacing="1" w:after="100" w:afterAutospacing="1"/>
      <w:textAlignment w:val="top"/>
    </w:pPr>
    <w:rPr>
      <w:rFonts w:eastAsia="Times New Roman" w:cs="Times New Roman"/>
      <w:szCs w:val="24"/>
      <w:lang w:eastAsia="lv-LV"/>
    </w:rPr>
  </w:style>
  <w:style w:type="paragraph" w:customStyle="1" w:styleId="xl66">
    <w:name w:val="xl66"/>
    <w:basedOn w:val="Normal"/>
    <w:rsid w:val="004E62D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sz w:val="22"/>
      <w:lang w:eastAsia="lv-LV"/>
    </w:rPr>
  </w:style>
  <w:style w:type="paragraph" w:customStyle="1" w:styleId="xl67">
    <w:name w:val="xl67"/>
    <w:basedOn w:val="Normal"/>
    <w:rsid w:val="004E62D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b/>
      <w:bCs/>
      <w:sz w:val="22"/>
      <w:lang w:eastAsia="lv-LV"/>
    </w:rPr>
  </w:style>
  <w:style w:type="paragraph" w:customStyle="1" w:styleId="xl68">
    <w:name w:val="xl68"/>
    <w:basedOn w:val="Normal"/>
    <w:rsid w:val="004E62D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2"/>
      <w:lang w:eastAsia="lv-LV"/>
    </w:rPr>
  </w:style>
  <w:style w:type="paragraph" w:customStyle="1" w:styleId="xl69">
    <w:name w:val="xl69"/>
    <w:basedOn w:val="Normal"/>
    <w:rsid w:val="004E62D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2"/>
      <w:lang w:eastAsia="lv-LV"/>
    </w:rPr>
  </w:style>
  <w:style w:type="paragraph" w:customStyle="1" w:styleId="xl70">
    <w:name w:val="xl70"/>
    <w:basedOn w:val="Normal"/>
    <w:rsid w:val="004E62D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2"/>
      <w:lang w:eastAsia="lv-LV"/>
    </w:rPr>
  </w:style>
  <w:style w:type="paragraph" w:customStyle="1" w:styleId="xl71">
    <w:name w:val="xl71"/>
    <w:basedOn w:val="Normal"/>
    <w:rsid w:val="004E62D7"/>
    <w:pPr>
      <w:shd w:val="clear" w:color="000000" w:fill="FFFFFF"/>
      <w:spacing w:before="100" w:beforeAutospacing="1" w:after="100" w:afterAutospacing="1"/>
    </w:pPr>
    <w:rPr>
      <w:rFonts w:eastAsia="Times New Roman"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285106">
      <w:bodyDiv w:val="1"/>
      <w:marLeft w:val="0"/>
      <w:marRight w:val="0"/>
      <w:marTop w:val="0"/>
      <w:marBottom w:val="0"/>
      <w:divBdr>
        <w:top w:val="none" w:sz="0" w:space="0" w:color="auto"/>
        <w:left w:val="none" w:sz="0" w:space="0" w:color="auto"/>
        <w:bottom w:val="none" w:sz="0" w:space="0" w:color="auto"/>
        <w:right w:val="none" w:sz="0" w:space="0" w:color="auto"/>
      </w:divBdr>
    </w:div>
    <w:div w:id="1622767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einis.savickis@compensalif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14780</Words>
  <Characters>8426</Characters>
  <Application>Microsoft Office Word</Application>
  <DocSecurity>0</DocSecurity>
  <Lines>70</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Ozola</dc:creator>
  <cp:keywords/>
  <dc:description/>
  <cp:lastModifiedBy>Ivonna Iļjenko</cp:lastModifiedBy>
  <cp:revision>3</cp:revision>
  <dcterms:created xsi:type="dcterms:W3CDTF">2018-06-05T06:28:00Z</dcterms:created>
  <dcterms:modified xsi:type="dcterms:W3CDTF">2018-06-05T06:28:00Z</dcterms:modified>
</cp:coreProperties>
</file>